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ind w:left="1438" w:hanging="800"/>
        <w:jc w:val="center"/>
        <w:rPr>
          <w:rFonts w:hint="eastAsia" w:ascii="方正小标宋简体" w:eastAsia="方正小标宋简体"/>
          <w:sz w:val="44"/>
          <w:szCs w:val="44"/>
        </w:rPr>
      </w:pPr>
      <w:r>
        <w:rPr>
          <w:rFonts w:hint="eastAsia" w:ascii="方正小标宋简体" w:eastAsia="方正小标宋简体"/>
          <w:sz w:val="44"/>
          <w:szCs w:val="44"/>
        </w:rPr>
        <w:t>重大劳动保障违法</w:t>
      </w:r>
      <w:r>
        <w:rPr>
          <w:rFonts w:hint="eastAsia" w:ascii="方正小标宋简体" w:eastAsia="方正小标宋简体"/>
          <w:sz w:val="44"/>
          <w:szCs w:val="44"/>
          <w:lang w:eastAsia="zh-CN"/>
        </w:rPr>
        <w:t>行为</w:t>
      </w:r>
      <w:r>
        <w:rPr>
          <w:rFonts w:hint="eastAsia" w:ascii="方正小标宋简体" w:eastAsia="方正小标宋简体"/>
          <w:sz w:val="44"/>
          <w:szCs w:val="44"/>
        </w:rPr>
        <w:t>信息表</w:t>
      </w:r>
    </w:p>
    <w:tbl>
      <w:tblPr>
        <w:tblStyle w:val="5"/>
        <w:tblpPr w:leftFromText="180" w:rightFromText="180" w:vertAnchor="text" w:horzAnchor="page" w:tblpX="1191" w:tblpY="543"/>
        <w:tblOverlap w:val="never"/>
        <w:tblW w:w="14646" w:type="dxa"/>
        <w:tblInd w:w="0" w:type="dxa"/>
        <w:tblLayout w:type="fixed"/>
        <w:tblCellMar>
          <w:top w:w="0" w:type="dxa"/>
          <w:left w:w="108" w:type="dxa"/>
          <w:bottom w:w="0" w:type="dxa"/>
          <w:right w:w="108" w:type="dxa"/>
        </w:tblCellMar>
      </w:tblPr>
      <w:tblGrid>
        <w:gridCol w:w="447"/>
        <w:gridCol w:w="1701"/>
        <w:gridCol w:w="970"/>
        <w:gridCol w:w="1571"/>
        <w:gridCol w:w="2605"/>
        <w:gridCol w:w="2874"/>
        <w:gridCol w:w="4478"/>
      </w:tblGrid>
      <w:tr>
        <w:tblPrEx>
          <w:tblLayout w:type="fixed"/>
        </w:tblPrEx>
        <w:trPr>
          <w:trHeight w:val="705" w:hRule="atLeast"/>
        </w:trPr>
        <w:tc>
          <w:tcPr>
            <w:tcW w:w="447" w:type="dxa"/>
            <w:tcBorders>
              <w:top w:val="single" w:color="auto" w:sz="4" w:space="0"/>
              <w:left w:val="single" w:color="auto" w:sz="4" w:space="0"/>
              <w:bottom w:val="nil"/>
              <w:right w:val="single" w:color="auto" w:sz="4" w:space="0"/>
            </w:tcBorders>
            <w:vAlign w:val="center"/>
          </w:tcPr>
          <w:p>
            <w:pPr>
              <w:widowControl/>
              <w:spacing w:line="400" w:lineRule="exact"/>
              <w:jc w:val="left"/>
              <w:rPr>
                <w:rFonts w:ascii="宋体" w:hAnsi="宋体" w:cs="宋体"/>
                <w:b/>
                <w:bCs/>
                <w:color w:val="000000"/>
                <w:kern w:val="0"/>
                <w:sz w:val="23"/>
                <w:szCs w:val="21"/>
              </w:rPr>
            </w:pPr>
            <w:r>
              <w:rPr>
                <w:rFonts w:hint="eastAsia" w:ascii="宋体" w:hAnsi="宋体" w:cs="宋体"/>
                <w:b/>
                <w:bCs/>
                <w:color w:val="000000"/>
                <w:kern w:val="0"/>
                <w:sz w:val="23"/>
                <w:szCs w:val="21"/>
              </w:rPr>
              <w:t>序号</w:t>
            </w:r>
          </w:p>
        </w:tc>
        <w:tc>
          <w:tcPr>
            <w:tcW w:w="1701" w:type="dxa"/>
            <w:tcBorders>
              <w:top w:val="single" w:color="auto" w:sz="4" w:space="0"/>
              <w:left w:val="nil"/>
              <w:bottom w:val="nil"/>
              <w:right w:val="single" w:color="auto" w:sz="4" w:space="0"/>
            </w:tcBorders>
            <w:vAlign w:val="center"/>
          </w:tcPr>
          <w:p>
            <w:pPr>
              <w:widowControl/>
              <w:spacing w:line="400" w:lineRule="exact"/>
              <w:jc w:val="center"/>
              <w:rPr>
                <w:rFonts w:ascii="宋体" w:hAnsi="宋体" w:cs="宋体"/>
                <w:b/>
                <w:bCs/>
                <w:color w:val="000000"/>
                <w:kern w:val="0"/>
                <w:sz w:val="23"/>
                <w:szCs w:val="21"/>
              </w:rPr>
            </w:pPr>
            <w:r>
              <w:rPr>
                <w:rFonts w:hint="eastAsia" w:ascii="宋体" w:hAnsi="宋体" w:cs="宋体"/>
                <w:b/>
                <w:bCs/>
                <w:color w:val="000000"/>
                <w:kern w:val="0"/>
                <w:sz w:val="23"/>
                <w:szCs w:val="21"/>
              </w:rPr>
              <w:t>企业名称</w:t>
            </w:r>
          </w:p>
        </w:tc>
        <w:tc>
          <w:tcPr>
            <w:tcW w:w="970" w:type="dxa"/>
            <w:tcBorders>
              <w:top w:val="single" w:color="auto" w:sz="4" w:space="0"/>
              <w:left w:val="single" w:color="auto" w:sz="4" w:space="0"/>
              <w:bottom w:val="nil"/>
              <w:right w:val="single" w:color="auto" w:sz="4" w:space="0"/>
            </w:tcBorders>
            <w:vAlign w:val="center"/>
          </w:tcPr>
          <w:p>
            <w:pPr>
              <w:widowControl/>
              <w:spacing w:line="400" w:lineRule="exact"/>
              <w:jc w:val="center"/>
              <w:rPr>
                <w:rFonts w:ascii="宋体" w:hAnsi="宋体" w:cs="宋体"/>
                <w:b/>
                <w:bCs/>
                <w:color w:val="000000"/>
                <w:kern w:val="0"/>
                <w:sz w:val="23"/>
                <w:szCs w:val="21"/>
              </w:rPr>
            </w:pPr>
            <w:r>
              <w:rPr>
                <w:rFonts w:hint="eastAsia" w:ascii="宋体" w:hAnsi="宋体" w:cs="宋体"/>
                <w:b/>
                <w:bCs/>
                <w:color w:val="000000"/>
                <w:kern w:val="0"/>
                <w:sz w:val="23"/>
                <w:szCs w:val="21"/>
              </w:rPr>
              <w:t>法定代表人</w:t>
            </w:r>
          </w:p>
        </w:tc>
        <w:tc>
          <w:tcPr>
            <w:tcW w:w="1571" w:type="dxa"/>
            <w:tcBorders>
              <w:top w:val="single" w:color="auto" w:sz="4" w:space="0"/>
              <w:left w:val="nil"/>
              <w:bottom w:val="nil"/>
              <w:right w:val="single" w:color="auto" w:sz="4" w:space="0"/>
            </w:tcBorders>
            <w:vAlign w:val="center"/>
          </w:tcPr>
          <w:p>
            <w:pPr>
              <w:widowControl/>
              <w:spacing w:line="400" w:lineRule="exact"/>
              <w:jc w:val="center"/>
              <w:rPr>
                <w:rFonts w:ascii="宋体" w:hAnsi="宋体" w:cs="宋体"/>
                <w:b/>
                <w:bCs/>
                <w:color w:val="000000"/>
                <w:kern w:val="0"/>
                <w:sz w:val="23"/>
                <w:szCs w:val="21"/>
              </w:rPr>
            </w:pPr>
            <w:r>
              <w:rPr>
                <w:rFonts w:hint="eastAsia" w:ascii="宋体" w:hAnsi="宋体" w:cs="宋体"/>
                <w:b/>
                <w:bCs/>
                <w:color w:val="000000"/>
                <w:kern w:val="0"/>
                <w:sz w:val="23"/>
                <w:szCs w:val="21"/>
              </w:rPr>
              <w:t>注册地址</w:t>
            </w:r>
          </w:p>
        </w:tc>
        <w:tc>
          <w:tcPr>
            <w:tcW w:w="2605" w:type="dxa"/>
            <w:tcBorders>
              <w:top w:val="single" w:color="auto" w:sz="4" w:space="0"/>
              <w:left w:val="nil"/>
              <w:bottom w:val="nil"/>
              <w:right w:val="single" w:color="auto" w:sz="4" w:space="0"/>
            </w:tcBorders>
            <w:vAlign w:val="center"/>
          </w:tcPr>
          <w:p>
            <w:pPr>
              <w:widowControl/>
              <w:spacing w:line="400" w:lineRule="exact"/>
              <w:jc w:val="center"/>
              <w:rPr>
                <w:rFonts w:hint="eastAsia" w:ascii="宋体" w:hAnsi="宋体" w:cs="宋体"/>
                <w:b/>
                <w:bCs/>
                <w:color w:val="000000"/>
                <w:kern w:val="0"/>
                <w:sz w:val="23"/>
                <w:szCs w:val="21"/>
              </w:rPr>
            </w:pPr>
            <w:r>
              <w:rPr>
                <w:rFonts w:hint="eastAsia" w:ascii="宋体" w:hAnsi="宋体" w:cs="宋体"/>
                <w:b/>
                <w:bCs/>
                <w:color w:val="000000"/>
                <w:kern w:val="0"/>
                <w:sz w:val="23"/>
                <w:szCs w:val="21"/>
              </w:rPr>
              <w:t>统一社会信用代码</w:t>
            </w:r>
          </w:p>
          <w:p>
            <w:pPr>
              <w:widowControl/>
              <w:spacing w:line="400" w:lineRule="exact"/>
              <w:jc w:val="center"/>
              <w:rPr>
                <w:rFonts w:ascii="宋体" w:hAnsi="宋体" w:cs="宋体"/>
                <w:b/>
                <w:bCs/>
                <w:color w:val="000000"/>
                <w:kern w:val="0"/>
                <w:sz w:val="23"/>
                <w:szCs w:val="21"/>
              </w:rPr>
            </w:pPr>
            <w:r>
              <w:rPr>
                <w:rFonts w:hint="eastAsia" w:ascii="宋体" w:hAnsi="宋体" w:cs="宋体"/>
                <w:b/>
                <w:bCs/>
                <w:color w:val="000000"/>
                <w:kern w:val="0"/>
                <w:sz w:val="23"/>
                <w:szCs w:val="21"/>
              </w:rPr>
              <w:t>或注册号</w:t>
            </w:r>
          </w:p>
        </w:tc>
        <w:tc>
          <w:tcPr>
            <w:tcW w:w="2874" w:type="dxa"/>
            <w:tcBorders>
              <w:top w:val="single" w:color="auto" w:sz="4" w:space="0"/>
              <w:left w:val="nil"/>
              <w:bottom w:val="nil"/>
              <w:right w:val="single" w:color="auto" w:sz="4" w:space="0"/>
            </w:tcBorders>
            <w:vAlign w:val="center"/>
          </w:tcPr>
          <w:p>
            <w:pPr>
              <w:widowControl/>
              <w:spacing w:line="400" w:lineRule="exact"/>
              <w:jc w:val="center"/>
              <w:rPr>
                <w:rFonts w:ascii="宋体" w:hAnsi="宋体" w:cs="宋体"/>
                <w:b/>
                <w:bCs/>
                <w:color w:val="000000"/>
                <w:kern w:val="0"/>
                <w:sz w:val="23"/>
                <w:szCs w:val="21"/>
              </w:rPr>
            </w:pPr>
            <w:r>
              <w:rPr>
                <w:rFonts w:hint="eastAsia" w:ascii="宋体" w:hAnsi="宋体" w:cs="宋体"/>
                <w:b/>
                <w:bCs/>
                <w:color w:val="000000"/>
                <w:kern w:val="0"/>
                <w:sz w:val="23"/>
                <w:szCs w:val="21"/>
              </w:rPr>
              <w:t>主要违法事实</w:t>
            </w:r>
          </w:p>
        </w:tc>
        <w:tc>
          <w:tcPr>
            <w:tcW w:w="4478" w:type="dxa"/>
            <w:tcBorders>
              <w:top w:val="single" w:color="auto" w:sz="4" w:space="0"/>
              <w:left w:val="nil"/>
              <w:bottom w:val="nil"/>
              <w:right w:val="single" w:color="auto" w:sz="4" w:space="0"/>
            </w:tcBorders>
            <w:vAlign w:val="center"/>
          </w:tcPr>
          <w:p>
            <w:pPr>
              <w:widowControl/>
              <w:spacing w:line="400" w:lineRule="exact"/>
              <w:jc w:val="center"/>
              <w:rPr>
                <w:rFonts w:ascii="宋体" w:hAnsi="宋体" w:cs="宋体"/>
                <w:b/>
                <w:bCs/>
                <w:color w:val="000000"/>
                <w:kern w:val="0"/>
                <w:sz w:val="23"/>
                <w:szCs w:val="21"/>
              </w:rPr>
            </w:pPr>
            <w:r>
              <w:rPr>
                <w:rFonts w:hint="eastAsia" w:ascii="宋体" w:hAnsi="宋体" w:cs="宋体"/>
                <w:b/>
                <w:bCs/>
                <w:color w:val="000000"/>
                <w:kern w:val="0"/>
                <w:sz w:val="23"/>
                <w:szCs w:val="21"/>
              </w:rPr>
              <w:t>相关处理情况</w:t>
            </w:r>
          </w:p>
        </w:tc>
      </w:tr>
      <w:tr>
        <w:tblPrEx>
          <w:tblLayout w:type="fixed"/>
        </w:tblPrEx>
        <w:trPr>
          <w:trHeight w:val="1861" w:hRule="atLeast"/>
        </w:trPr>
        <w:tc>
          <w:tcPr>
            <w:tcW w:w="4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szCs w:val="21"/>
              </w:rPr>
            </w:pPr>
            <w:r>
              <w:rPr>
                <w:rFonts w:hint="eastAsia" w:ascii="仿宋" w:hAnsi="仿宋" w:eastAsia="仿宋"/>
                <w:szCs w:val="21"/>
              </w:rPr>
              <w:t>1</w:t>
            </w:r>
          </w:p>
        </w:tc>
        <w:tc>
          <w:tcPr>
            <w:tcW w:w="1701"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宁夏哲宇建设工程有限公司</w:t>
            </w:r>
          </w:p>
        </w:tc>
        <w:tc>
          <w:tcPr>
            <w:tcW w:w="9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马军民</w:t>
            </w:r>
          </w:p>
        </w:tc>
        <w:tc>
          <w:tcPr>
            <w:tcW w:w="1571"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default" w:ascii="仿宋_GB2312" w:hAnsi="仿宋_GB2312" w:eastAsia="仿宋_GB2312" w:cs="仿宋_GB2312"/>
                <w:bCs/>
                <w:spacing w:val="0"/>
                <w:sz w:val="21"/>
                <w:szCs w:val="21"/>
                <w:lang w:val="en-US" w:eastAsia="zh-CN"/>
              </w:rPr>
              <w:t>宁夏银川市兴庆区新华东街650号隆鑫苑A2号楼A座7层702室写字楼</w:t>
            </w:r>
          </w:p>
        </w:tc>
        <w:tc>
          <w:tcPr>
            <w:tcW w:w="2605"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91640100352671705E</w:t>
            </w:r>
          </w:p>
        </w:tc>
        <w:tc>
          <w:tcPr>
            <w:tcW w:w="2874"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该公司在承建的兴庆区金圣动力港·商业综合广场（二期）1#-14#工程项目期间，存在未对分包单位劳动用工及工资支付实施有效监督的违法行为。</w:t>
            </w:r>
          </w:p>
        </w:tc>
        <w:tc>
          <w:tcPr>
            <w:tcW w:w="4478"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2022年8月5日，银川市人力资源和社会保障局依法对该公司的违法行为处以50000元（大写：伍万元整）的行政处罚。</w:t>
            </w:r>
          </w:p>
        </w:tc>
      </w:tr>
      <w:tr>
        <w:tblPrEx>
          <w:tblLayout w:type="fixed"/>
          <w:tblCellMar>
            <w:top w:w="0" w:type="dxa"/>
            <w:left w:w="108" w:type="dxa"/>
            <w:bottom w:w="0" w:type="dxa"/>
            <w:right w:w="108" w:type="dxa"/>
          </w:tblCellMar>
        </w:tblPrEx>
        <w:trPr>
          <w:trHeight w:val="2050" w:hRule="atLeast"/>
        </w:trPr>
        <w:tc>
          <w:tcPr>
            <w:tcW w:w="44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s="宋体"/>
                <w:color w:val="000000"/>
                <w:kern w:val="0"/>
                <w:szCs w:val="21"/>
              </w:rPr>
            </w:pPr>
            <w:r>
              <w:rPr>
                <w:rFonts w:hint="eastAsia" w:ascii="仿宋" w:hAnsi="仿宋" w:eastAsia="仿宋"/>
                <w:szCs w:val="21"/>
              </w:rPr>
              <w:t>2</w:t>
            </w:r>
          </w:p>
        </w:tc>
        <w:tc>
          <w:tcPr>
            <w:tcW w:w="1701"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宁夏金色阳光房地产开发有限公司</w:t>
            </w:r>
          </w:p>
        </w:tc>
        <w:tc>
          <w:tcPr>
            <w:tcW w:w="9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金昌福</w:t>
            </w:r>
          </w:p>
        </w:tc>
        <w:tc>
          <w:tcPr>
            <w:tcW w:w="1571"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宁夏永宁县望远镇阳光100综合市场24号楼A415室</w:t>
            </w:r>
          </w:p>
        </w:tc>
        <w:tc>
          <w:tcPr>
            <w:tcW w:w="2605"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916411007508462593</w:t>
            </w:r>
          </w:p>
        </w:tc>
        <w:tc>
          <w:tcPr>
            <w:tcW w:w="2874"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该公司在开发建设兴庆区金圣动力港·商业广场（二期）1#-14#工程项目期间，存在未按月将人工工资及时足额拨付至施工总承包单位设立的农民工工资专用账户，未对施工总承包单位按时足额支付农民工工资实施有效监督的违法行为。</w:t>
            </w:r>
          </w:p>
        </w:tc>
        <w:tc>
          <w:tcPr>
            <w:tcW w:w="4478"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_GB2312" w:eastAsia="仿宋_GB2312" w:cs="仿宋_GB2312"/>
                <w:bCs/>
                <w:spacing w:val="0"/>
                <w:sz w:val="21"/>
                <w:szCs w:val="21"/>
                <w:lang w:val="en-US" w:eastAsia="zh-CN"/>
              </w:rPr>
            </w:pPr>
            <w:r>
              <w:rPr>
                <w:rFonts w:hint="eastAsia" w:ascii="仿宋_GB2312" w:hAnsi="仿宋_GB2312" w:eastAsia="仿宋_GB2312" w:cs="仿宋_GB2312"/>
                <w:bCs/>
                <w:spacing w:val="0"/>
                <w:sz w:val="21"/>
                <w:szCs w:val="21"/>
                <w:lang w:val="en-US" w:eastAsia="zh-CN"/>
              </w:rPr>
              <w:t>2022年8月9日，银川市人力资源和社会保障局对该公司的违法行为处以80000元（大写：捌万元整）的行政处罚。</w:t>
            </w:r>
          </w:p>
        </w:tc>
      </w:tr>
    </w:tbl>
    <w:p>
      <w:pPr>
        <w:spacing w:line="560" w:lineRule="exact"/>
        <w:ind w:left="1438" w:hanging="800"/>
        <w:jc w:val="center"/>
        <w:rPr>
          <w:rFonts w:hint="eastAsia" w:ascii="方正小标宋简体" w:eastAsia="方正小标宋简体"/>
          <w:sz w:val="44"/>
          <w:szCs w:val="44"/>
        </w:rPr>
      </w:pPr>
    </w:p>
    <w:p>
      <w:pPr>
        <w:adjustRightInd w:val="0"/>
        <w:snapToGrid w:val="0"/>
        <w:spacing w:line="320" w:lineRule="exact"/>
        <w:jc w:val="left"/>
        <w:rPr>
          <w:rFonts w:hint="eastAsia" w:ascii="黑体" w:hAnsi="黑体" w:eastAsia="黑体"/>
          <w:color w:val="000000"/>
          <w:sz w:val="32"/>
          <w:szCs w:val="32"/>
        </w:rPr>
      </w:pPr>
    </w:p>
    <w:p>
      <w:pPr>
        <w:adjustRightInd w:val="0"/>
        <w:snapToGrid w:val="0"/>
        <w:spacing w:line="320" w:lineRule="exact"/>
        <w:jc w:val="left"/>
        <w:rPr>
          <w:rFonts w:ascii="黑体" w:hAnsi="黑体" w:eastAsia="黑体"/>
          <w:color w:val="000000"/>
          <w:sz w:val="32"/>
          <w:szCs w:val="32"/>
        </w:rPr>
      </w:pPr>
    </w:p>
    <w:p>
      <w:pPr>
        <w:adjustRightInd w:val="0"/>
        <w:snapToGrid w:val="0"/>
        <w:spacing w:line="320" w:lineRule="exact"/>
        <w:jc w:val="left"/>
        <w:rPr>
          <w:rFonts w:ascii="黑体" w:hAnsi="黑体" w:eastAsia="黑体"/>
          <w:color w:val="000000"/>
          <w:sz w:val="32"/>
          <w:szCs w:val="32"/>
        </w:rPr>
      </w:pPr>
    </w:p>
    <w:p>
      <w:pPr>
        <w:pStyle w:val="6"/>
        <w:numPr>
          <w:ilvl w:val="0"/>
          <w:numId w:val="0"/>
        </w:numPr>
        <w:adjustRightInd/>
        <w:spacing w:before="0" w:after="0" w:line="580" w:lineRule="exact"/>
        <w:jc w:val="left"/>
        <w:rPr>
          <w:rFonts w:hint="eastAsia" w:ascii="黑体" w:hAnsi="黑体" w:eastAsia="黑体" w:cs="黑体"/>
          <w:b w:val="0"/>
          <w:color w:val="000000"/>
          <w:sz w:val="32"/>
          <w:szCs w:val="32"/>
          <w:lang w:eastAsia="zh-CN"/>
        </w:rPr>
      </w:pPr>
    </w:p>
    <w:p>
      <w:pPr>
        <w:pStyle w:val="6"/>
        <w:numPr>
          <w:ilvl w:val="0"/>
          <w:numId w:val="0"/>
        </w:numPr>
        <w:adjustRightInd/>
        <w:spacing w:before="0" w:after="0" w:line="580" w:lineRule="exact"/>
        <w:jc w:val="left"/>
        <w:rPr>
          <w:rFonts w:hint="eastAsia" w:ascii="黑体" w:hAnsi="黑体" w:eastAsia="黑体" w:cs="黑体"/>
          <w:b w:val="0"/>
          <w:color w:val="000000"/>
          <w:sz w:val="32"/>
          <w:szCs w:val="32"/>
          <w:lang w:val="en-US" w:eastAsia="zh-CN"/>
        </w:rPr>
      </w:pPr>
      <w:r>
        <w:rPr>
          <w:rFonts w:hint="eastAsia" w:ascii="黑体" w:hAnsi="黑体" w:eastAsia="黑体" w:cs="黑体"/>
          <w:b w:val="0"/>
          <w:color w:val="000000"/>
          <w:sz w:val="32"/>
          <w:szCs w:val="32"/>
          <w:lang w:eastAsia="zh-CN"/>
        </w:rPr>
        <w:t>附件</w:t>
      </w:r>
      <w:r>
        <w:rPr>
          <w:rFonts w:hint="eastAsia" w:ascii="黑体" w:hAnsi="黑体" w:eastAsia="黑体" w:cs="黑体"/>
          <w:b w:val="0"/>
          <w:color w:val="000000"/>
          <w:sz w:val="32"/>
          <w:szCs w:val="32"/>
          <w:lang w:val="en-US" w:eastAsia="zh-CN"/>
        </w:rPr>
        <w:t>2</w:t>
      </w:r>
    </w:p>
    <w:p>
      <w:pPr>
        <w:pStyle w:val="6"/>
        <w:numPr>
          <w:ilvl w:val="0"/>
          <w:numId w:val="0"/>
        </w:numPr>
        <w:adjustRightInd/>
        <w:spacing w:before="0" w:after="0" w:line="580" w:lineRule="exact"/>
        <w:rPr>
          <w:rFonts w:hint="eastAsia" w:ascii="方正小标宋简体" w:hAnsi="华文中宋" w:eastAsia="方正小标宋简体"/>
          <w:b w:val="0"/>
          <w:color w:val="000000"/>
          <w:sz w:val="44"/>
          <w:szCs w:val="44"/>
          <w:lang w:eastAsia="zh-CN"/>
        </w:rPr>
      </w:pPr>
      <w:r>
        <w:rPr>
          <w:rFonts w:hint="eastAsia" w:ascii="方正小标宋简体" w:hAnsi="华文中宋" w:eastAsia="方正小标宋简体"/>
          <w:b w:val="0"/>
          <w:color w:val="000000"/>
          <w:sz w:val="44"/>
          <w:szCs w:val="44"/>
        </w:rPr>
        <w:t>拖欠农民工工资</w:t>
      </w:r>
      <w:r>
        <w:rPr>
          <w:rFonts w:hint="eastAsia" w:ascii="方正小标宋简体" w:hAnsi="华文中宋" w:eastAsia="方正小标宋简体"/>
          <w:b w:val="0"/>
          <w:color w:val="000000"/>
          <w:sz w:val="44"/>
          <w:szCs w:val="44"/>
          <w:lang w:eastAsia="zh-CN"/>
        </w:rPr>
        <w:t>失信联合惩戒对象名单</w:t>
      </w:r>
    </w:p>
    <w:p>
      <w:pPr>
        <w:rPr>
          <w:rFonts w:hint="eastAsia"/>
          <w:lang w:eastAsia="zh-CN"/>
        </w:rPr>
      </w:pPr>
    </w:p>
    <w:tbl>
      <w:tblPr>
        <w:tblStyle w:val="5"/>
        <w:tblW w:w="14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850"/>
        <w:gridCol w:w="1073"/>
        <w:gridCol w:w="1073"/>
        <w:gridCol w:w="1073"/>
        <w:gridCol w:w="1073"/>
        <w:gridCol w:w="1073"/>
        <w:gridCol w:w="1073"/>
        <w:gridCol w:w="1218"/>
        <w:gridCol w:w="1017"/>
        <w:gridCol w:w="1116"/>
        <w:gridCol w:w="941"/>
        <w:gridCol w:w="1073"/>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6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序号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地区</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对象</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名称</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代码或证件</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类型</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代码或证件</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号码</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法定代表人</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姓名</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法定代表人身份证件类型</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法定代表人身份证件号码</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列入名单事由</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涉及金额（万元）</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列入</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日期</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认定</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部门</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文书号</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退出</w:t>
            </w:r>
          </w:p>
          <w:p>
            <w:pPr>
              <w:widowControl/>
              <w:adjustRightInd/>
              <w:snapToGrid/>
              <w:spacing w:line="400" w:lineRule="exact"/>
              <w:jc w:val="center"/>
              <w:rPr>
                <w:rFonts w:hint="eastAsia" w:ascii="宋体" w:hAnsi="宋体" w:eastAsia="宋体" w:cs="宋体"/>
                <w:b/>
                <w:bCs/>
                <w:color w:val="000000"/>
                <w:kern w:val="0"/>
                <w:sz w:val="23"/>
                <w:szCs w:val="21"/>
              </w:rPr>
            </w:pPr>
            <w:r>
              <w:rPr>
                <w:rFonts w:hint="eastAsia" w:ascii="宋体" w:hAnsi="宋体" w:eastAsia="宋体" w:cs="宋体"/>
                <w:b/>
                <w:bCs/>
                <w:color w:val="000000"/>
                <w:kern w:val="0"/>
                <w:sz w:val="23"/>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2" w:hRule="atLeast"/>
          <w:jc w:val="center"/>
        </w:trPr>
        <w:tc>
          <w:tcPr>
            <w:tcW w:w="6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宁夏</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宁夏广荣祥建筑工程有限公司</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统一社会信用代码</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91640100MA75X7LD38</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石晓薇</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w:t>
            </w:r>
            <w:bookmarkStart w:id="0" w:name="_GoBack"/>
            <w:bookmarkEnd w:id="0"/>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 w:cs="宋体"/>
                <w:color w:val="000000"/>
                <w:kern w:val="0"/>
                <w:szCs w:val="21"/>
                <w:lang w:val="en-US" w:eastAsia="zh-CN"/>
              </w:rPr>
            </w:pPr>
            <w:r>
              <w:rPr>
                <w:rFonts w:hint="eastAsia" w:ascii="仿宋" w:hAnsi="仿宋" w:eastAsia="仿宋" w:cs="仿宋"/>
                <w:i w:val="0"/>
                <w:iCs w:val="0"/>
                <w:color w:val="000000"/>
                <w:kern w:val="0"/>
                <w:sz w:val="20"/>
                <w:szCs w:val="20"/>
                <w:u w:val="none"/>
                <w:lang w:val="en-US" w:eastAsia="zh-CN" w:bidi="ar"/>
              </w:rPr>
              <w:t>拖欠汪汉等14名农民工工资21.481万元。</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21.481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仿宋_GB2312" w:hAnsi="宋体" w:eastAsia="仿宋_GB2312" w:cs="宋体"/>
                <w:color w:val="000000"/>
                <w:kern w:val="0"/>
                <w:szCs w:val="21"/>
                <w:lang w:val="en-US"/>
              </w:rPr>
            </w:pPr>
            <w:r>
              <w:rPr>
                <w:rFonts w:hint="eastAsia" w:ascii="仿宋_GB2312" w:hAnsi="宋体" w:eastAsia="仿宋_GB2312" w:cs="宋体"/>
                <w:color w:val="000000"/>
                <w:kern w:val="0"/>
                <w:szCs w:val="21"/>
              </w:rPr>
              <w:t>20</w:t>
            </w:r>
            <w:r>
              <w:rPr>
                <w:rFonts w:hint="eastAsia" w:ascii="仿宋_GB2312" w:hAnsi="宋体" w:eastAsia="仿宋_GB2312" w:cs="宋体"/>
                <w:color w:val="000000"/>
                <w:kern w:val="0"/>
                <w:szCs w:val="21"/>
                <w:lang w:val="en-US" w:eastAsia="zh-CN"/>
              </w:rPr>
              <w:t>220401</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固原市人力资源和社会保障局</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eastAsia" w:ascii="仿宋" w:hAnsi="仿宋" w:eastAsia="仿宋" w:cs="仿宋"/>
                <w:i w:val="0"/>
                <w:iCs w:val="0"/>
                <w:color w:val="000000"/>
                <w:kern w:val="0"/>
                <w:sz w:val="20"/>
                <w:szCs w:val="20"/>
                <w:u w:val="none"/>
                <w:lang w:val="en-US" w:eastAsia="zh-CN" w:bidi="ar"/>
              </w:rPr>
              <w:t>固人社监列决字〔2022〕第1号</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仿宋_GB2312" w:hAnsi="宋体" w:eastAsia="仿宋_GB2312" w:cs="宋体"/>
                <w:color w:val="000000"/>
                <w:kern w:val="0"/>
                <w:szCs w:val="21"/>
                <w:lang w:val="en-US"/>
              </w:rPr>
            </w:pPr>
            <w:r>
              <w:rPr>
                <w:rFonts w:hint="eastAsia" w:ascii="仿宋_GB2312" w:hAnsi="宋体" w:eastAsia="仿宋_GB2312" w:cs="宋体"/>
                <w:color w:val="000000"/>
                <w:kern w:val="0"/>
                <w:szCs w:val="21"/>
              </w:rPr>
              <w:t>20</w:t>
            </w:r>
            <w:r>
              <w:rPr>
                <w:rFonts w:hint="eastAsia" w:ascii="仿宋_GB2312" w:hAnsi="宋体" w:eastAsia="仿宋_GB2312" w:cs="宋体"/>
                <w:color w:val="000000"/>
                <w:kern w:val="0"/>
                <w:szCs w:val="21"/>
                <w:lang w:val="en-US" w:eastAsia="zh-CN"/>
              </w:rPr>
              <w:t>250401</w:t>
            </w:r>
          </w:p>
        </w:tc>
      </w:tr>
    </w:tbl>
    <w:p/>
    <w:sectPr>
      <w:headerReference r:id="rId3" w:type="default"/>
      <w:footerReference r:id="rId4" w:type="default"/>
      <w:pgSz w:w="16838" w:h="11905" w:orient="landscape"/>
      <w:pgMar w:top="1304" w:right="1134" w:bottom="1134" w:left="113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140"/>
        <w:tab w:val="right"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655B3"/>
    <w:multiLevelType w:val="multilevel"/>
    <w:tmpl w:val="7BB655B3"/>
    <w:lvl w:ilvl="0" w:tentative="0">
      <w:start w:val="1"/>
      <w:numFmt w:val="decimal"/>
      <w:pStyle w:val="6"/>
      <w:lvlText w:val="图 %1"/>
      <w:lvlJc w:val="left"/>
      <w:pPr>
        <w:tabs>
          <w:tab w:val="left" w:pos="6209"/>
        </w:tabs>
        <w:ind w:left="6209" w:hanging="680"/>
      </w:pPr>
      <w:rPr>
        <w:rFonts w:hint="eastAsia" w:cs="Times New Roman"/>
      </w:rPr>
    </w:lvl>
    <w:lvl w:ilvl="1" w:tentative="0">
      <w:start w:val="1"/>
      <w:numFmt w:val="lowerLetter"/>
      <w:lvlText w:val="%2)"/>
      <w:lvlJc w:val="left"/>
      <w:pPr>
        <w:tabs>
          <w:tab w:val="left" w:pos="6369"/>
        </w:tabs>
        <w:ind w:left="6369" w:hanging="420"/>
      </w:pPr>
      <w:rPr>
        <w:rFonts w:cs="Times New Roman"/>
      </w:rPr>
    </w:lvl>
    <w:lvl w:ilvl="2" w:tentative="0">
      <w:start w:val="1"/>
      <w:numFmt w:val="lowerRoman"/>
      <w:lvlText w:val="%3."/>
      <w:lvlJc w:val="right"/>
      <w:pPr>
        <w:tabs>
          <w:tab w:val="left" w:pos="6789"/>
        </w:tabs>
        <w:ind w:left="6789" w:hanging="420"/>
      </w:pPr>
      <w:rPr>
        <w:rFonts w:cs="Times New Roman"/>
      </w:rPr>
    </w:lvl>
    <w:lvl w:ilvl="3" w:tentative="0">
      <w:start w:val="1"/>
      <w:numFmt w:val="decimal"/>
      <w:lvlText w:val="%4."/>
      <w:lvlJc w:val="left"/>
      <w:pPr>
        <w:tabs>
          <w:tab w:val="left" w:pos="7209"/>
        </w:tabs>
        <w:ind w:left="7209" w:hanging="420"/>
      </w:pPr>
      <w:rPr>
        <w:rFonts w:cs="Times New Roman"/>
      </w:rPr>
    </w:lvl>
    <w:lvl w:ilvl="4" w:tentative="0">
      <w:start w:val="1"/>
      <w:numFmt w:val="lowerLetter"/>
      <w:lvlText w:val="%5)"/>
      <w:lvlJc w:val="left"/>
      <w:pPr>
        <w:tabs>
          <w:tab w:val="left" w:pos="7629"/>
        </w:tabs>
        <w:ind w:left="7629" w:hanging="420"/>
      </w:pPr>
      <w:rPr>
        <w:rFonts w:cs="Times New Roman"/>
      </w:rPr>
    </w:lvl>
    <w:lvl w:ilvl="5" w:tentative="0">
      <w:start w:val="1"/>
      <w:numFmt w:val="lowerRoman"/>
      <w:lvlText w:val="%6."/>
      <w:lvlJc w:val="right"/>
      <w:pPr>
        <w:tabs>
          <w:tab w:val="left" w:pos="8049"/>
        </w:tabs>
        <w:ind w:left="8049" w:hanging="420"/>
      </w:pPr>
      <w:rPr>
        <w:rFonts w:cs="Times New Roman"/>
      </w:rPr>
    </w:lvl>
    <w:lvl w:ilvl="6" w:tentative="0">
      <w:start w:val="1"/>
      <w:numFmt w:val="decimal"/>
      <w:lvlText w:val="%7."/>
      <w:lvlJc w:val="left"/>
      <w:pPr>
        <w:tabs>
          <w:tab w:val="left" w:pos="8469"/>
        </w:tabs>
        <w:ind w:left="8469" w:hanging="420"/>
      </w:pPr>
      <w:rPr>
        <w:rFonts w:cs="Times New Roman"/>
      </w:rPr>
    </w:lvl>
    <w:lvl w:ilvl="7" w:tentative="0">
      <w:start w:val="1"/>
      <w:numFmt w:val="lowerLetter"/>
      <w:lvlText w:val="%8)"/>
      <w:lvlJc w:val="left"/>
      <w:pPr>
        <w:tabs>
          <w:tab w:val="left" w:pos="8889"/>
        </w:tabs>
        <w:ind w:left="8889" w:hanging="420"/>
      </w:pPr>
      <w:rPr>
        <w:rFonts w:cs="Times New Roman"/>
      </w:rPr>
    </w:lvl>
    <w:lvl w:ilvl="8" w:tentative="0">
      <w:start w:val="1"/>
      <w:numFmt w:val="lowerRoman"/>
      <w:lvlText w:val="%9."/>
      <w:lvlJc w:val="right"/>
      <w:pPr>
        <w:tabs>
          <w:tab w:val="left" w:pos="9309"/>
        </w:tabs>
        <w:ind w:left="930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hyphenationZone w:val="36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31.53.46:80/seeyon/officeservlet"/>
  </w:docVars>
  <w:rsids>
    <w:rsidRoot w:val="006B4783"/>
    <w:rsid w:val="000801D8"/>
    <w:rsid w:val="0016705F"/>
    <w:rsid w:val="002A41A4"/>
    <w:rsid w:val="00396120"/>
    <w:rsid w:val="004D443C"/>
    <w:rsid w:val="00536933"/>
    <w:rsid w:val="0057548F"/>
    <w:rsid w:val="006B4783"/>
    <w:rsid w:val="00764959"/>
    <w:rsid w:val="007C6FE9"/>
    <w:rsid w:val="007F3A14"/>
    <w:rsid w:val="0099016F"/>
    <w:rsid w:val="00D604C5"/>
    <w:rsid w:val="00DD6830"/>
    <w:rsid w:val="0B007B52"/>
    <w:rsid w:val="256731CE"/>
    <w:rsid w:val="27F503F7"/>
    <w:rsid w:val="394B47D6"/>
    <w:rsid w:val="6AF4302D"/>
    <w:rsid w:val="6F513FA3"/>
    <w:rsid w:val="6F9E1860"/>
    <w:rsid w:val="7DDD8B63"/>
    <w:rsid w:val="7FF954B7"/>
    <w:rsid w:val="DD7DD6C0"/>
    <w:rsid w:val="F7FF28DE"/>
    <w:rsid w:val="FEFDED07"/>
    <w:rsid w:val="FFA72B6C"/>
    <w:rsid w:val="FFD71C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图"/>
    <w:basedOn w:val="1"/>
    <w:next w:val="1"/>
    <w:qFormat/>
    <w:uiPriority w:val="0"/>
    <w:pPr>
      <w:numPr>
        <w:ilvl w:val="0"/>
        <w:numId w:val="1"/>
      </w:numPr>
      <w:adjustRightInd w:val="0"/>
      <w:spacing w:before="60" w:after="60" w:line="360" w:lineRule="atLeast"/>
      <w:ind w:left="0" w:firstLine="0"/>
      <w:jc w:val="center"/>
      <w:textAlignment w:val="baseline"/>
    </w:pPr>
    <w:rPr>
      <w:rFonts w:ascii="Times New Roman" w:hAnsi="Times New Roman" w:eastAsia="黑体"/>
      <w:b/>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0</Words>
  <Characters>0</Characters>
  <Lines>0</Lines>
  <Paragraphs>0</Paragraphs>
  <TotalTime>7</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2022-05-20T01:56:00Z</dcterms:created>
  <dc:creator>张海涛</dc:creator>
  <cp:lastModifiedBy>阎虹宇</cp:lastModifiedBy>
  <dcterms:modified xsi:type="dcterms:W3CDTF">2022-12-16T00:03:58Z</dcterms:modified>
  <dc:title>自治区人力资源和社会保障厅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