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eastAsia="方正小标宋简体"/>
          <w:sz w:val="44"/>
          <w:szCs w:val="44"/>
        </w:rPr>
      </w:pP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宁夏回族自治区工伤保险医疗服务</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和就医管理办法（征求</w:t>
      </w:r>
      <w:r>
        <w:rPr>
          <w:rFonts w:ascii="方正小标宋简体" w:eastAsia="方正小标宋简体"/>
          <w:sz w:val="44"/>
          <w:szCs w:val="44"/>
        </w:rPr>
        <w:t>意见稿</w:t>
      </w:r>
      <w:r>
        <w:rPr>
          <w:rFonts w:hint="eastAsia" w:ascii="方正小标宋简体" w:eastAsia="方正小标宋简体"/>
          <w:sz w:val="44"/>
          <w:szCs w:val="44"/>
        </w:rPr>
        <w:t>）</w:t>
      </w:r>
    </w:p>
    <w:p>
      <w:pPr>
        <w:spacing w:line="700" w:lineRule="exact"/>
        <w:jc w:val="both"/>
        <w:rPr>
          <w:rFonts w:ascii="仿宋_GB2312" w:eastAsia="仿宋_GB2312"/>
          <w:sz w:val="32"/>
          <w:szCs w:val="32"/>
        </w:rPr>
      </w:pPr>
    </w:p>
    <w:p>
      <w:pPr>
        <w:spacing w:line="560" w:lineRule="atLeast"/>
        <w:jc w:val="center"/>
        <w:rPr>
          <w:rFonts w:ascii="黑体" w:hAnsi="黑体" w:eastAsia="黑体"/>
          <w:sz w:val="32"/>
          <w:szCs w:val="32"/>
        </w:rPr>
      </w:pPr>
      <w:r>
        <w:rPr>
          <w:rFonts w:hint="eastAsia" w:ascii="黑体" w:hAnsi="黑体" w:eastAsia="黑体"/>
          <w:sz w:val="32"/>
          <w:szCs w:val="32"/>
        </w:rPr>
        <w:t>第 一 章  总  则</w:t>
      </w:r>
    </w:p>
    <w:p>
      <w:pPr>
        <w:spacing w:line="560" w:lineRule="atLeast"/>
        <w:jc w:val="both"/>
        <w:rPr>
          <w:rFonts w:ascii="仿宋_GB2312" w:eastAsia="仿宋_GB2312"/>
          <w:sz w:val="32"/>
          <w:szCs w:val="32"/>
        </w:rPr>
      </w:pP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第一条</w:t>
      </w:r>
      <w:r>
        <w:rPr>
          <w:rFonts w:ascii="仿宋_GB2312" w:eastAsia="仿宋_GB2312"/>
          <w:sz w:val="32"/>
          <w:szCs w:val="32"/>
        </w:rPr>
        <w:t xml:space="preserve">  </w:t>
      </w:r>
      <w:r>
        <w:rPr>
          <w:rFonts w:hint="eastAsia" w:ascii="仿宋_GB2312" w:eastAsia="仿宋_GB2312"/>
          <w:sz w:val="32"/>
          <w:szCs w:val="32"/>
        </w:rPr>
        <w:t>为保障工伤职工医疗需求，规范工伤保险医疗服务和就医管理，保障工伤保险基金安全，根据《工伤保险条例》《自治区人民政府关于印发宁夏回族自治区实施〈工伤保险条例〉办法的通知》</w:t>
      </w:r>
      <w:bookmarkStart w:id="0" w:name="OLE_LINK3"/>
      <w:r>
        <w:rPr>
          <w:rFonts w:hint="eastAsia" w:ascii="仿宋_GB2312" w:eastAsia="仿宋_GB2312"/>
          <w:sz w:val="32"/>
          <w:szCs w:val="32"/>
        </w:rPr>
        <w:t>(宁政发〔2012〕115号)</w:t>
      </w:r>
      <w:bookmarkEnd w:id="0"/>
      <w:r>
        <w:rPr>
          <w:rFonts w:hint="eastAsia" w:ascii="仿宋_GB2312" w:eastAsia="仿宋_GB2312"/>
          <w:sz w:val="32"/>
          <w:szCs w:val="32"/>
        </w:rPr>
        <w:t>《自治区人力资源社会保障厅</w:t>
      </w:r>
      <w:r>
        <w:rPr>
          <w:rFonts w:ascii="仿宋_GB2312" w:eastAsia="仿宋_GB2312"/>
          <w:sz w:val="32"/>
          <w:szCs w:val="32"/>
        </w:rPr>
        <w:t xml:space="preserve"> 财政厅 卫生健康委</w:t>
      </w:r>
      <w:r>
        <w:rPr>
          <w:rFonts w:hint="eastAsia" w:ascii="仿宋_GB2312" w:eastAsia="仿宋_GB2312"/>
          <w:sz w:val="32"/>
          <w:szCs w:val="32"/>
        </w:rPr>
        <w:t>转发〈关于全面开展工伤保险跨省异地就医直接结算工作的通知〉的通知》(宁人社函〔20</w:t>
      </w:r>
      <w:r>
        <w:rPr>
          <w:rFonts w:ascii="仿宋_GB2312" w:eastAsia="仿宋_GB2312"/>
          <w:sz w:val="32"/>
          <w:szCs w:val="32"/>
        </w:rPr>
        <w:t>25</w:t>
      </w:r>
      <w:r>
        <w:rPr>
          <w:rFonts w:hint="eastAsia" w:ascii="仿宋_GB2312" w:eastAsia="仿宋_GB2312"/>
          <w:sz w:val="32"/>
          <w:szCs w:val="32"/>
        </w:rPr>
        <w:t>〕</w:t>
      </w:r>
      <w:r>
        <w:rPr>
          <w:rFonts w:ascii="仿宋_GB2312" w:eastAsia="仿宋_GB2312"/>
          <w:sz w:val="32"/>
          <w:szCs w:val="32"/>
        </w:rPr>
        <w:t>137</w:t>
      </w:r>
      <w:r>
        <w:rPr>
          <w:rFonts w:hint="eastAsia" w:ascii="仿宋_GB2312" w:eastAsia="仿宋_GB2312"/>
          <w:sz w:val="32"/>
          <w:szCs w:val="32"/>
        </w:rPr>
        <w:t>号)等规定，结合我区实际，制定本办法。</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第二条</w:t>
      </w:r>
      <w:r>
        <w:rPr>
          <w:rFonts w:ascii="仿宋_GB2312" w:eastAsia="仿宋_GB2312"/>
          <w:sz w:val="32"/>
          <w:szCs w:val="32"/>
        </w:rPr>
        <w:t xml:space="preserve">  </w:t>
      </w:r>
      <w:r>
        <w:rPr>
          <w:rFonts w:hint="eastAsia" w:ascii="仿宋_GB2312" w:eastAsia="仿宋_GB2312"/>
          <w:sz w:val="32"/>
          <w:szCs w:val="32"/>
        </w:rPr>
        <w:t>本办法适用于全区工伤保险协议医疗机构 (本办法所称协议医疗机构，是指与社会保险经办机构签订服务协议，为工伤职工提供工伤医疗、康复服务的医疗机构。以下简称协议医疗机构)。工伤医疗服务管理以及自治区行政区域内已参加工伤保险的用人</w:t>
      </w:r>
      <w:r>
        <w:rPr>
          <w:rFonts w:ascii="仿宋_GB2312" w:eastAsia="仿宋_GB2312"/>
          <w:sz w:val="32"/>
          <w:szCs w:val="32"/>
        </w:rPr>
        <w:t>单位及其</w:t>
      </w:r>
      <w:r>
        <w:rPr>
          <w:rFonts w:hint="eastAsia" w:ascii="仿宋_GB2312" w:eastAsia="仿宋_GB2312"/>
          <w:sz w:val="32"/>
          <w:szCs w:val="32"/>
        </w:rPr>
        <w:t>工伤职工(包括老工伤职工、退休工伤职工、在职工伤职工)就医管理。</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第三条</w:t>
      </w:r>
      <w:r>
        <w:rPr>
          <w:rFonts w:ascii="仿宋_GB2312" w:eastAsia="仿宋_GB2312"/>
          <w:sz w:val="32"/>
          <w:szCs w:val="32"/>
        </w:rPr>
        <w:t xml:space="preserve">  </w:t>
      </w:r>
      <w:r>
        <w:rPr>
          <w:rFonts w:hint="eastAsia" w:ascii="仿宋_GB2312" w:eastAsia="仿宋_GB2312"/>
          <w:sz w:val="32"/>
          <w:szCs w:val="32"/>
        </w:rPr>
        <w:t>自治区人力资源社会保障部门、自治区卫生健康部门和自治区财政部门，负责制定全区工伤保险医疗服务、就医管理及工伤保险基金管理相关政策，做好组织实施和监督管理工作。</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自治区社会保险事业管理局(以下简称自治区社保局)负责</w:t>
      </w:r>
      <w:bookmarkStart w:id="1" w:name="OLE_LINK9"/>
      <w:bookmarkStart w:id="2" w:name="OLE_LINK8"/>
      <w:r>
        <w:rPr>
          <w:rFonts w:hint="eastAsia" w:ascii="仿宋_GB2312" w:eastAsia="仿宋_GB2312"/>
          <w:sz w:val="32"/>
          <w:szCs w:val="32"/>
        </w:rPr>
        <w:t>指导、规范全区工伤医疗服务管理、就医管理及跨省（市、县）工伤医疗资金核算、清算等经办业务，制定相关经办业务规程，医疗服务协议范本，联通各信息平台、优化信息系统，保障即时结算信息系统畅通，为医疗服务、费用审核监控、资金清算划拨提供数据支持。</w:t>
      </w:r>
      <w:bookmarkEnd w:id="1"/>
      <w:bookmarkEnd w:id="2"/>
    </w:p>
    <w:p>
      <w:pPr>
        <w:spacing w:line="560" w:lineRule="atLeast"/>
        <w:ind w:firstLine="640" w:firstLineChars="200"/>
        <w:rPr>
          <w:rFonts w:ascii="仿宋_GB2312" w:eastAsia="仿宋_GB2312"/>
          <w:sz w:val="32"/>
          <w:szCs w:val="32"/>
        </w:rPr>
      </w:pPr>
      <w:r>
        <w:rPr>
          <w:rFonts w:hint="eastAsia" w:ascii="仿宋_GB2312" w:eastAsia="仿宋_GB2312"/>
          <w:sz w:val="32"/>
          <w:szCs w:val="32"/>
        </w:rPr>
        <w:t>市、县(区)人力资源社会保障部门、卫生健康部门及财政部门负责本行政区域内工伤保险医疗服务及就医管理相关政策的组织实施、监督和考核，不断提高医疗机构工伤医疗服务水平和服务态度，定期和不定期检查考核工伤医疗服务工作。</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市、县(区)社会保险经办机构(以下简称社保经办机构)负责工伤保险医疗服务协议管理和工伤职工就医管理，对协议医疗机构进行日常管理和监督考核；负责工伤医疗费的结算、清算等经办工作。</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第四条</w:t>
      </w:r>
      <w:r>
        <w:rPr>
          <w:rFonts w:ascii="仿宋_GB2312" w:eastAsia="仿宋_GB2312"/>
          <w:sz w:val="32"/>
          <w:szCs w:val="32"/>
        </w:rPr>
        <w:t xml:space="preserve">  </w:t>
      </w:r>
      <w:r>
        <w:rPr>
          <w:rFonts w:hint="eastAsia" w:ascii="仿宋_GB2312" w:eastAsia="仿宋_GB2312"/>
          <w:sz w:val="32"/>
          <w:szCs w:val="32"/>
        </w:rPr>
        <w:t>贯彻落实国家、自治区有关要求，提高工伤医疗信息化管理服务和AI智能技术应用水平，不断优化经办流程、精简办事材料、减少办事成本，为工伤职工提供便捷的工伤医疗服务，确保工伤保险基金合理使用。</w:t>
      </w:r>
    </w:p>
    <w:p>
      <w:pPr>
        <w:spacing w:line="560" w:lineRule="atLeast"/>
        <w:jc w:val="both"/>
        <w:rPr>
          <w:rFonts w:ascii="黑体" w:hAnsi="黑体" w:eastAsia="黑体"/>
          <w:sz w:val="32"/>
          <w:szCs w:val="32"/>
        </w:rPr>
      </w:pPr>
    </w:p>
    <w:p>
      <w:pPr>
        <w:spacing w:line="560" w:lineRule="atLeast"/>
        <w:jc w:val="center"/>
        <w:rPr>
          <w:rFonts w:ascii="黑体" w:hAnsi="黑体" w:eastAsia="黑体"/>
          <w:sz w:val="32"/>
          <w:szCs w:val="32"/>
        </w:rPr>
      </w:pPr>
      <w:r>
        <w:rPr>
          <w:rFonts w:hint="eastAsia" w:ascii="黑体" w:hAnsi="黑体" w:eastAsia="黑体"/>
          <w:sz w:val="32"/>
          <w:szCs w:val="32"/>
        </w:rPr>
        <w:t>第二章  医疗服务协议管理</w:t>
      </w:r>
    </w:p>
    <w:p>
      <w:pPr>
        <w:spacing w:line="560" w:lineRule="atLeast"/>
        <w:rPr>
          <w:rFonts w:ascii="仿宋_GB2312" w:eastAsia="仿宋_GB2312"/>
          <w:sz w:val="32"/>
          <w:szCs w:val="32"/>
        </w:rPr>
      </w:pP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第五条</w:t>
      </w:r>
      <w:r>
        <w:rPr>
          <w:rFonts w:ascii="仿宋_GB2312" w:eastAsia="仿宋_GB2312"/>
          <w:sz w:val="32"/>
          <w:szCs w:val="32"/>
        </w:rPr>
        <w:t xml:space="preserve">  </w:t>
      </w:r>
      <w:r>
        <w:rPr>
          <w:rFonts w:hint="eastAsia" w:ascii="仿宋_GB2312" w:eastAsia="仿宋_GB2312"/>
          <w:sz w:val="32"/>
          <w:szCs w:val="32"/>
        </w:rPr>
        <w:t>工伤保险实行协议医疗服务方式。工伤保险协议医疗机构应当具备以下基本条件：</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(一)经卫生健康部门批准并取得《医疗机构执业许可证》的各类医疗机构，以及经卫生健康部门同意对社会提供服务的军队医疗机构；</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(二)具备为工伤职工提供良好医疗服务的条件，在工伤救治、康复和职业病防治方面有专业技术优势；</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(三)有健全完善的医疗服务管理制度，符合工伤保险信息化要求，具备工伤医疗服务、信息传输、即时结算必须的设施、设备；</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(四)遵守国家有关医疗服务和职业病防治管理的法规和标准，遵守国家、自治区规定的医疗服务和药品的价格政策；</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(五)遵守工伤保险法律法规。</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第六条</w:t>
      </w:r>
      <w:r>
        <w:rPr>
          <w:rFonts w:hint="eastAsia" w:ascii="仿宋_GB2312" w:eastAsia="仿宋_GB2312"/>
          <w:sz w:val="32"/>
          <w:szCs w:val="32"/>
        </w:rPr>
        <w:t xml:space="preserve">  工伤</w:t>
      </w:r>
      <w:r>
        <w:rPr>
          <w:rFonts w:ascii="仿宋_GB2312" w:eastAsia="仿宋_GB2312"/>
          <w:sz w:val="32"/>
          <w:szCs w:val="32"/>
        </w:rPr>
        <w:t>保险协议康复机构必须具备以下基本条件：</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（一）具备二级</w:t>
      </w:r>
      <w:r>
        <w:rPr>
          <w:rFonts w:ascii="仿宋_GB2312" w:eastAsia="仿宋_GB2312"/>
          <w:sz w:val="32"/>
          <w:szCs w:val="32"/>
        </w:rPr>
        <w:t>以上康复专科机构条件或三级综合医疗机构资质，康复水平在所在地区处于领先水平；</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（二）设有</w:t>
      </w:r>
      <w:r>
        <w:rPr>
          <w:rFonts w:ascii="仿宋_GB2312" w:eastAsia="仿宋_GB2312"/>
          <w:sz w:val="32"/>
          <w:szCs w:val="32"/>
        </w:rPr>
        <w:t>专门的康复病房，康复病房床位在</w:t>
      </w:r>
      <w:r>
        <w:rPr>
          <w:rFonts w:hint="eastAsia" w:ascii="仿宋_GB2312" w:eastAsia="仿宋_GB2312"/>
          <w:sz w:val="32"/>
          <w:szCs w:val="32"/>
        </w:rPr>
        <w:t>50张</w:t>
      </w:r>
      <w:r>
        <w:rPr>
          <w:rFonts w:ascii="仿宋_GB2312" w:eastAsia="仿宋_GB2312"/>
          <w:sz w:val="32"/>
          <w:szCs w:val="32"/>
        </w:rPr>
        <w:t>以上，</w:t>
      </w:r>
      <w:r>
        <w:rPr>
          <w:rFonts w:hint="eastAsia" w:ascii="仿宋_GB2312" w:eastAsia="仿宋_GB2312"/>
          <w:sz w:val="32"/>
          <w:szCs w:val="32"/>
        </w:rPr>
        <w:t>每张</w:t>
      </w:r>
      <w:r>
        <w:rPr>
          <w:rFonts w:ascii="仿宋_GB2312" w:eastAsia="仿宋_GB2312"/>
          <w:sz w:val="32"/>
          <w:szCs w:val="32"/>
        </w:rPr>
        <w:t>病床</w:t>
      </w:r>
      <w:r>
        <w:rPr>
          <w:rFonts w:hint="eastAsia" w:ascii="仿宋_GB2312" w:eastAsia="仿宋_GB2312"/>
          <w:sz w:val="32"/>
          <w:szCs w:val="32"/>
        </w:rPr>
        <w:t>净</w:t>
      </w:r>
      <w:r>
        <w:rPr>
          <w:rFonts w:ascii="仿宋_GB2312" w:eastAsia="仿宋_GB2312"/>
          <w:sz w:val="32"/>
          <w:szCs w:val="32"/>
        </w:rPr>
        <w:t>使用面积在</w:t>
      </w:r>
      <w:r>
        <w:rPr>
          <w:rFonts w:hint="eastAsia" w:ascii="仿宋_GB2312" w:eastAsia="仿宋_GB2312"/>
          <w:sz w:val="32"/>
          <w:szCs w:val="32"/>
        </w:rPr>
        <w:t>6平方米</w:t>
      </w:r>
      <w:r>
        <w:rPr>
          <w:rFonts w:ascii="仿宋_GB2312" w:eastAsia="仿宋_GB2312"/>
          <w:sz w:val="32"/>
          <w:szCs w:val="32"/>
        </w:rPr>
        <w:t>左右；</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（三）康复</w:t>
      </w:r>
      <w:r>
        <w:rPr>
          <w:rFonts w:ascii="仿宋_GB2312" w:eastAsia="仿宋_GB2312"/>
          <w:sz w:val="32"/>
          <w:szCs w:val="32"/>
        </w:rPr>
        <w:t>业务用房面积在</w:t>
      </w:r>
      <w:r>
        <w:rPr>
          <w:rFonts w:hint="eastAsia" w:ascii="仿宋_GB2312" w:eastAsia="仿宋_GB2312"/>
          <w:sz w:val="32"/>
          <w:szCs w:val="32"/>
        </w:rPr>
        <w:t>800平方米</w:t>
      </w:r>
      <w:r>
        <w:rPr>
          <w:rFonts w:ascii="仿宋_GB2312" w:eastAsia="仿宋_GB2312"/>
          <w:sz w:val="32"/>
          <w:szCs w:val="32"/>
        </w:rPr>
        <w:t>以上（</w:t>
      </w:r>
      <w:r>
        <w:rPr>
          <w:rFonts w:hint="eastAsia" w:ascii="仿宋_GB2312" w:eastAsia="仿宋_GB2312"/>
          <w:sz w:val="32"/>
          <w:szCs w:val="32"/>
        </w:rPr>
        <w:t>不含</w:t>
      </w:r>
      <w:r>
        <w:rPr>
          <w:rFonts w:ascii="仿宋_GB2312" w:eastAsia="仿宋_GB2312"/>
          <w:sz w:val="32"/>
          <w:szCs w:val="32"/>
        </w:rPr>
        <w:t>病房）</w:t>
      </w:r>
      <w:r>
        <w:rPr>
          <w:rFonts w:hint="eastAsia" w:ascii="仿宋_GB2312" w:eastAsia="仿宋_GB2312"/>
          <w:sz w:val="32"/>
          <w:szCs w:val="32"/>
        </w:rPr>
        <w:t>，有</w:t>
      </w:r>
      <w:r>
        <w:rPr>
          <w:rFonts w:ascii="仿宋_GB2312" w:eastAsia="仿宋_GB2312"/>
          <w:sz w:val="32"/>
          <w:szCs w:val="32"/>
        </w:rPr>
        <w:t>独立的康复功能评定、康复治疗和康复</w:t>
      </w:r>
      <w:r>
        <w:rPr>
          <w:rFonts w:hint="eastAsia" w:ascii="仿宋_GB2312" w:eastAsia="仿宋_GB2312"/>
          <w:sz w:val="32"/>
          <w:szCs w:val="32"/>
        </w:rPr>
        <w:t>支具</w:t>
      </w:r>
      <w:r>
        <w:rPr>
          <w:rFonts w:ascii="仿宋_GB2312" w:eastAsia="仿宋_GB2312"/>
          <w:sz w:val="32"/>
          <w:szCs w:val="32"/>
        </w:rPr>
        <w:t>安装室等；</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（四）有</w:t>
      </w:r>
      <w:r>
        <w:rPr>
          <w:rFonts w:ascii="仿宋_GB2312" w:eastAsia="仿宋_GB2312"/>
          <w:sz w:val="32"/>
          <w:szCs w:val="32"/>
        </w:rPr>
        <w:t>较为完善的康复器械和设备；</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（五）拥有10名</w:t>
      </w:r>
      <w:r>
        <w:rPr>
          <w:rFonts w:ascii="仿宋_GB2312" w:eastAsia="仿宋_GB2312"/>
          <w:sz w:val="32"/>
          <w:szCs w:val="32"/>
        </w:rPr>
        <w:t>以上康复专业医师（</w:t>
      </w:r>
      <w:r>
        <w:rPr>
          <w:rFonts w:hint="eastAsia" w:ascii="仿宋_GB2312" w:eastAsia="仿宋_GB2312"/>
          <w:sz w:val="32"/>
          <w:szCs w:val="32"/>
        </w:rPr>
        <w:t>其中副高级</w:t>
      </w:r>
      <w:r>
        <w:rPr>
          <w:rFonts w:ascii="仿宋_GB2312" w:eastAsia="仿宋_GB2312"/>
          <w:sz w:val="32"/>
          <w:szCs w:val="32"/>
        </w:rPr>
        <w:t>以上职称人员比例一般不低于</w:t>
      </w:r>
      <w:r>
        <w:rPr>
          <w:rFonts w:hint="eastAsia" w:ascii="仿宋_GB2312" w:eastAsia="仿宋_GB2312"/>
          <w:sz w:val="32"/>
          <w:szCs w:val="32"/>
        </w:rPr>
        <w:t>40%</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经过专业培训的康复治疗师</w:t>
      </w:r>
      <w:r>
        <w:rPr>
          <w:rFonts w:hint="eastAsia" w:ascii="仿宋_GB2312" w:eastAsia="仿宋_GB2312"/>
          <w:sz w:val="32"/>
          <w:szCs w:val="32"/>
        </w:rPr>
        <w:t>20名</w:t>
      </w:r>
      <w:r>
        <w:rPr>
          <w:rFonts w:ascii="仿宋_GB2312" w:eastAsia="仿宋_GB2312"/>
          <w:sz w:val="32"/>
          <w:szCs w:val="32"/>
        </w:rPr>
        <w:t>以上；</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（六）建立了</w:t>
      </w:r>
      <w:r>
        <w:rPr>
          <w:rFonts w:ascii="仿宋_GB2312" w:eastAsia="仿宋_GB2312"/>
          <w:sz w:val="32"/>
          <w:szCs w:val="32"/>
        </w:rPr>
        <w:t>工伤康复管理规章制度，设有工伤康复管理专职机构和人员；</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（七）有</w:t>
      </w:r>
      <w:r>
        <w:rPr>
          <w:rFonts w:ascii="仿宋_GB2312" w:eastAsia="仿宋_GB2312"/>
          <w:sz w:val="32"/>
          <w:szCs w:val="32"/>
        </w:rPr>
        <w:t>安全稳定可靠的网络信息路线和设备。</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第七条</w:t>
      </w:r>
      <w:r>
        <w:rPr>
          <w:rFonts w:ascii="仿宋_GB2312" w:eastAsia="仿宋_GB2312"/>
          <w:sz w:val="32"/>
          <w:szCs w:val="32"/>
        </w:rPr>
        <w:t xml:space="preserve">  </w:t>
      </w:r>
      <w:r>
        <w:rPr>
          <w:rFonts w:hint="eastAsia" w:ascii="仿宋_GB2312" w:eastAsia="仿宋_GB2312"/>
          <w:sz w:val="32"/>
          <w:szCs w:val="32"/>
        </w:rPr>
        <w:t>市县社保经办机构按照属地原则，在公开、公正、平等 协商的基础上，与属地符合条件的医疗机构签订《工伤保险医疗服务协议》。协议内容涵盖本地和其他省、市、县转入就医的参保工伤职工医疗服务，其他市县社保经办机构不再重复签订协议。</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签订协议的医疗机构全区互认。各市、县(区)初审协议医疗机构名单并及时上报自治区社保局，在自治区社保局备案后全区公布，纳入全国工伤保险异地就医结算系统协议医疗机构库管理。</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第八条</w:t>
      </w:r>
      <w:r>
        <w:rPr>
          <w:rFonts w:ascii="仿宋_GB2312" w:eastAsia="仿宋_GB2312"/>
          <w:sz w:val="32"/>
          <w:szCs w:val="32"/>
        </w:rPr>
        <w:t xml:space="preserve">  </w:t>
      </w:r>
      <w:r>
        <w:rPr>
          <w:rFonts w:hint="eastAsia" w:ascii="仿宋_GB2312" w:eastAsia="仿宋_GB2312"/>
          <w:sz w:val="32"/>
          <w:szCs w:val="32"/>
        </w:rPr>
        <w:t>协议医疗机构要建立健全内部管理制度，做好医务人员工伤保险医疗服务相关政策法规的宣传和培训，按照协议约定做好工伤医疗服务相关工作。</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协议医疗机构应在诊疗服务场所显要位置公开工伤就医、结算流程和相关政策规定，标识工伤保险挂号、结算服务窗口，为工伤职工提供工伤就医咨询、导医等服务。</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第九条</w:t>
      </w:r>
      <w:r>
        <w:rPr>
          <w:rFonts w:ascii="仿宋_GB2312" w:eastAsia="仿宋_GB2312"/>
          <w:sz w:val="32"/>
          <w:szCs w:val="32"/>
        </w:rPr>
        <w:t xml:space="preserve">  </w:t>
      </w:r>
      <w:r>
        <w:rPr>
          <w:rFonts w:hint="eastAsia" w:ascii="仿宋_GB2312" w:eastAsia="仿宋_GB2312"/>
          <w:sz w:val="32"/>
          <w:szCs w:val="32"/>
        </w:rPr>
        <w:t>协议医疗机构应确保工伤医疗服务信息系统应与工伤保险信息系统接口畅通，保障数据传输及时有效，外部应用平台、读卡设备能够实现医师实时获取工伤职工身份、工伤认定、受伤部位(职业病病种)等信息，保障对症施治、正确结算。在</w:t>
      </w:r>
      <w:r>
        <w:rPr>
          <w:rFonts w:ascii="仿宋_GB2312" w:eastAsia="仿宋_GB2312"/>
          <w:sz w:val="32"/>
          <w:szCs w:val="32"/>
        </w:rPr>
        <w:t>工伤医疗结算过程中，全面实现药品</w:t>
      </w:r>
      <w:r>
        <w:rPr>
          <w:rFonts w:hint="eastAsia" w:ascii="仿宋_GB2312" w:eastAsia="仿宋_GB2312"/>
          <w:sz w:val="32"/>
          <w:szCs w:val="32"/>
        </w:rPr>
        <w:t>追溯码</w:t>
      </w:r>
      <w:r>
        <w:rPr>
          <w:rFonts w:ascii="仿宋_GB2312" w:eastAsia="仿宋_GB2312"/>
          <w:sz w:val="32"/>
          <w:szCs w:val="32"/>
        </w:rPr>
        <w:t>全量采集应用。</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第十条</w:t>
      </w:r>
      <w:r>
        <w:rPr>
          <w:rFonts w:ascii="仿宋_GB2312" w:eastAsia="仿宋_GB2312"/>
          <w:sz w:val="32"/>
          <w:szCs w:val="32"/>
        </w:rPr>
        <w:t xml:space="preserve">  </w:t>
      </w:r>
      <w:r>
        <w:rPr>
          <w:rFonts w:hint="eastAsia" w:ascii="仿宋_GB2312" w:eastAsia="仿宋_GB2312"/>
          <w:sz w:val="32"/>
          <w:szCs w:val="32"/>
        </w:rPr>
        <w:t>社会保障卡(电子社保卡、</w:t>
      </w:r>
      <w:r>
        <w:rPr>
          <w:rFonts w:ascii="仿宋_GB2312" w:eastAsia="仿宋_GB2312"/>
          <w:sz w:val="32"/>
          <w:szCs w:val="32"/>
        </w:rPr>
        <w:t>宁夏融合码</w:t>
      </w:r>
      <w:r>
        <w:rPr>
          <w:rFonts w:hint="eastAsia" w:ascii="仿宋_GB2312" w:eastAsia="仿宋_GB2312"/>
          <w:sz w:val="32"/>
          <w:szCs w:val="32"/>
        </w:rPr>
        <w:t>)是工伤就医结算的主要凭证。协议医疗机构应对工伤职工就医凭证进行核验，做到人、卡、</w:t>
      </w:r>
      <w:r>
        <w:rPr>
          <w:rFonts w:ascii="仿宋_GB2312" w:eastAsia="仿宋_GB2312"/>
          <w:sz w:val="32"/>
          <w:szCs w:val="32"/>
        </w:rPr>
        <w:t>码</w:t>
      </w:r>
      <w:r>
        <w:rPr>
          <w:rFonts w:hint="eastAsia" w:ascii="仿宋_GB2312" w:eastAsia="仿宋_GB2312"/>
          <w:sz w:val="32"/>
          <w:szCs w:val="32"/>
        </w:rPr>
        <w:t>相符，严禁冒名就医，防止欺诈骗保行为。</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第十一条</w:t>
      </w:r>
      <w:r>
        <w:rPr>
          <w:rFonts w:ascii="仿宋_GB2312" w:eastAsia="仿宋_GB2312"/>
          <w:sz w:val="32"/>
          <w:szCs w:val="32"/>
        </w:rPr>
        <w:t xml:space="preserve">  </w:t>
      </w:r>
      <w:r>
        <w:rPr>
          <w:rFonts w:hint="eastAsia" w:ascii="仿宋_GB2312" w:eastAsia="仿宋_GB2312"/>
          <w:sz w:val="32"/>
          <w:szCs w:val="32"/>
        </w:rPr>
        <w:t>协议医疗机构应根据工伤职工伤情、职业病诊断情况提供清晰、准确的伤情诊断意见，在医疗文书中准确详细记录受伤原因、时间、地点、经过和相关诊断意见。配合人力资源社会保障部门或社保经办机构，及时调取、据实出具工伤职工费用结算清单、医疗诊断证明书等有关医学材料。</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工伤职工确需跨省、市、县医疗救治的，协议医疗机构应认真对待，根据工伤职工伤情、职业病诊断情况，结合本机构医疗设备、医务服务水平，在尊重工伤职工意愿、保障及时高质医疗服务的前提下慎重出具转诊转院证明。</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第十二条</w:t>
      </w:r>
      <w:r>
        <w:rPr>
          <w:rFonts w:ascii="仿宋_GB2312" w:eastAsia="仿宋_GB2312"/>
          <w:sz w:val="32"/>
          <w:szCs w:val="32"/>
        </w:rPr>
        <w:t xml:space="preserve">  </w:t>
      </w:r>
      <w:r>
        <w:rPr>
          <w:rFonts w:hint="eastAsia" w:ascii="仿宋_GB2312" w:eastAsia="仿宋_GB2312"/>
          <w:sz w:val="32"/>
          <w:szCs w:val="32"/>
        </w:rPr>
        <w:t>治疗工伤所需费用符合自治区工伤保险诊疗项目目录、工伤保险药品目录、工伤保险住院服务</w:t>
      </w:r>
      <w:r>
        <w:rPr>
          <w:rFonts w:ascii="仿宋_GB2312" w:eastAsia="仿宋_GB2312"/>
          <w:sz w:val="32"/>
          <w:szCs w:val="32"/>
        </w:rPr>
        <w:t>标准和工伤保险康复服务项目目录</w:t>
      </w:r>
      <w:r>
        <w:rPr>
          <w:rFonts w:hint="eastAsia" w:ascii="仿宋_GB2312" w:eastAsia="仿宋_GB2312"/>
          <w:sz w:val="32"/>
          <w:szCs w:val="32"/>
        </w:rPr>
        <w:t>的，从工伤保险基金支付。协议医疗机构对于不在工伤保险基金支付范围的费用，应当提前书面告知用人单位、工伤职工或其近亲属，并由用人单位、工伤职工或其近亲属签字确认。</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第十三条</w:t>
      </w:r>
      <w:r>
        <w:rPr>
          <w:rFonts w:ascii="仿宋_GB2312" w:eastAsia="仿宋_GB2312"/>
          <w:sz w:val="32"/>
          <w:szCs w:val="32"/>
        </w:rPr>
        <w:t xml:space="preserve">  </w:t>
      </w:r>
      <w:r>
        <w:rPr>
          <w:rFonts w:hint="eastAsia" w:ascii="仿宋_GB2312" w:eastAsia="仿宋_GB2312"/>
          <w:sz w:val="32"/>
          <w:szCs w:val="32"/>
        </w:rPr>
        <w:t>协议医疗机构要严格执行卫健、药监、市场监管部门管理规定，在</w:t>
      </w:r>
      <w:r>
        <w:rPr>
          <w:rFonts w:ascii="仿宋_GB2312" w:eastAsia="仿宋_GB2312"/>
          <w:sz w:val="32"/>
          <w:szCs w:val="32"/>
        </w:rPr>
        <w:t>工伤医疗过程中</w:t>
      </w:r>
      <w:r>
        <w:rPr>
          <w:rFonts w:hint="eastAsia" w:ascii="仿宋_GB2312" w:eastAsia="仿宋_GB2312"/>
          <w:sz w:val="32"/>
          <w:szCs w:val="32"/>
        </w:rPr>
        <w:t>严格落实对症诊治、伤病分离管理，不得编造虚假病历、虚列工伤保险基金支付项目，不得分解收费、重复收费、套项目收费，不得挂床住院、无指征住院、过度诊疗等。</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第十四条</w:t>
      </w:r>
      <w:r>
        <w:rPr>
          <w:rFonts w:ascii="仿宋_GB2312" w:eastAsia="仿宋_GB2312"/>
          <w:sz w:val="32"/>
          <w:szCs w:val="32"/>
        </w:rPr>
        <w:t xml:space="preserve">  </w:t>
      </w:r>
      <w:r>
        <w:rPr>
          <w:rFonts w:hint="eastAsia" w:ascii="仿宋_GB2312" w:eastAsia="仿宋_GB2312"/>
          <w:sz w:val="32"/>
          <w:szCs w:val="32"/>
        </w:rPr>
        <w:t>协议医疗机构应当充分利用工伤职工在其他医疗机构所做的检查结果，对工伤职工在同级或高级别协议医疗机构所做的检查化验结果在合理期间内实行互认，对低级别医疗机构做出的检查结果应作参考，避免不必要的重复检查。</w:t>
      </w:r>
    </w:p>
    <w:p>
      <w:pPr>
        <w:spacing w:line="560" w:lineRule="atLeast"/>
        <w:ind w:firstLine="643" w:firstLineChars="200"/>
        <w:rPr>
          <w:rFonts w:ascii="仿宋_GB2312" w:eastAsia="仿宋_GB2312"/>
          <w:sz w:val="32"/>
          <w:szCs w:val="32"/>
        </w:rPr>
      </w:pPr>
      <w:bookmarkStart w:id="3" w:name="OLE_LINK7"/>
      <w:bookmarkStart w:id="4" w:name="OLE_LINK6"/>
      <w:r>
        <w:rPr>
          <w:rFonts w:hint="eastAsia" w:ascii="楷体_GB2312" w:eastAsia="楷体_GB2312"/>
          <w:b/>
          <w:sz w:val="32"/>
          <w:szCs w:val="32"/>
        </w:rPr>
        <w:t>第十五条</w:t>
      </w:r>
      <w:r>
        <w:rPr>
          <w:rFonts w:ascii="仿宋_GB2312" w:eastAsia="仿宋_GB2312"/>
          <w:sz w:val="32"/>
          <w:szCs w:val="32"/>
        </w:rPr>
        <w:t xml:space="preserve">  </w:t>
      </w:r>
      <w:r>
        <w:rPr>
          <w:rFonts w:hint="eastAsia" w:ascii="仿宋_GB2312" w:eastAsia="仿宋_GB2312"/>
          <w:sz w:val="32"/>
          <w:szCs w:val="32"/>
        </w:rPr>
        <w:t>协议医疗机构发生的下列费用，由协议医疗机构承担。</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(一)违反医疗行业规范或违反物价规定发生的医疗费用；</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(二)未经用人单位或工伤职工(或家属)同意并签字确认，超出工伤保险支付范围所产生的医疗费用；</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(三)未对工伤职工同时治疗工伤和非工伤费用进行区分的费用；</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(四)其他违反工伤保险有关规定的费用。</w:t>
      </w:r>
      <w:bookmarkEnd w:id="3"/>
      <w:bookmarkEnd w:id="4"/>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第十六条</w:t>
      </w:r>
      <w:r>
        <w:rPr>
          <w:rFonts w:ascii="仿宋_GB2312" w:eastAsia="仿宋_GB2312"/>
          <w:sz w:val="32"/>
          <w:szCs w:val="32"/>
        </w:rPr>
        <w:t xml:space="preserve">  </w:t>
      </w:r>
      <w:r>
        <w:rPr>
          <w:rFonts w:hint="eastAsia" w:ascii="仿宋_GB2312" w:eastAsia="仿宋_GB2312"/>
          <w:sz w:val="32"/>
          <w:szCs w:val="32"/>
        </w:rPr>
        <w:t>社保经办机构应该协议机构上传费用后</w:t>
      </w:r>
      <w:r>
        <w:rPr>
          <w:rFonts w:ascii="仿宋_GB2312" w:eastAsia="仿宋_GB2312"/>
          <w:sz w:val="32"/>
          <w:szCs w:val="32"/>
        </w:rPr>
        <w:t>30天内</w:t>
      </w:r>
      <w:r>
        <w:rPr>
          <w:rFonts w:hint="eastAsia" w:ascii="仿宋_GB2312" w:eastAsia="仿宋_GB2312"/>
          <w:sz w:val="32"/>
          <w:szCs w:val="32"/>
        </w:rPr>
        <w:t>完成</w:t>
      </w:r>
      <w:r>
        <w:rPr>
          <w:rFonts w:ascii="仿宋_GB2312" w:eastAsia="仿宋_GB2312"/>
          <w:sz w:val="32"/>
          <w:szCs w:val="32"/>
        </w:rPr>
        <w:t>费用</w:t>
      </w:r>
      <w:r>
        <w:rPr>
          <w:rFonts w:hint="eastAsia" w:ascii="仿宋_GB2312" w:eastAsia="仿宋_GB2312"/>
          <w:sz w:val="32"/>
          <w:szCs w:val="32"/>
        </w:rPr>
        <w:t>审核</w:t>
      </w:r>
      <w:r>
        <w:rPr>
          <w:rFonts w:ascii="仿宋_GB2312" w:eastAsia="仿宋_GB2312"/>
          <w:sz w:val="32"/>
          <w:szCs w:val="32"/>
        </w:rPr>
        <w:t>，提高经办审核效率，便于协议医疗机构申请拨付费用。</w:t>
      </w:r>
    </w:p>
    <w:p>
      <w:pPr>
        <w:spacing w:line="560" w:lineRule="atLeast"/>
        <w:rPr>
          <w:rFonts w:ascii="黑体" w:hAnsi="黑体" w:eastAsia="黑体"/>
          <w:sz w:val="32"/>
          <w:szCs w:val="32"/>
        </w:rPr>
      </w:pPr>
    </w:p>
    <w:p>
      <w:pPr>
        <w:spacing w:line="560" w:lineRule="atLeast"/>
        <w:jc w:val="center"/>
        <w:rPr>
          <w:rFonts w:ascii="黑体" w:hAnsi="黑体" w:eastAsia="黑体"/>
          <w:sz w:val="32"/>
          <w:szCs w:val="32"/>
        </w:rPr>
      </w:pPr>
      <w:r>
        <w:rPr>
          <w:rFonts w:hint="eastAsia" w:ascii="黑体" w:hAnsi="黑体" w:eastAsia="黑体"/>
          <w:sz w:val="32"/>
          <w:szCs w:val="32"/>
        </w:rPr>
        <w:t>第三章 工伤职工就医管理</w:t>
      </w:r>
    </w:p>
    <w:p>
      <w:pPr>
        <w:spacing w:line="560" w:lineRule="atLeast"/>
        <w:jc w:val="both"/>
        <w:rPr>
          <w:rFonts w:ascii="黑体" w:hAnsi="黑体" w:eastAsia="黑体"/>
          <w:sz w:val="32"/>
          <w:szCs w:val="32"/>
        </w:rPr>
      </w:pP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第十七条</w:t>
      </w:r>
      <w:r>
        <w:rPr>
          <w:rFonts w:ascii="仿宋_GB2312" w:eastAsia="仿宋_GB2312"/>
          <w:sz w:val="32"/>
          <w:szCs w:val="32"/>
        </w:rPr>
        <w:t xml:space="preserve">  </w:t>
      </w:r>
      <w:r>
        <w:rPr>
          <w:rFonts w:hint="eastAsia" w:ascii="仿宋_GB2312" w:eastAsia="仿宋_GB2312"/>
          <w:sz w:val="32"/>
          <w:szCs w:val="32"/>
        </w:rPr>
        <w:t>职工发生工伤后，应当在协议医疗机构进行治疗。情况紧急时可以先到就近的医疗机构急救，伤情稳定后仍需治疗的，应当及时转入协议医疗机构继续治疗。</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在自治区外发生工伤的，应当优先选择事故发生地协议医疗机构治疗，伤情稳定后，应当及时转回自治区内协议医疗机构继续治疗。</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工伤职工就医期间须向协议医疗机构及时出示本人社会保障卡(电子社保卡)。</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第十八条</w:t>
      </w:r>
      <w:r>
        <w:rPr>
          <w:rFonts w:ascii="仿宋_GB2312" w:eastAsia="仿宋_GB2312"/>
          <w:sz w:val="32"/>
          <w:szCs w:val="32"/>
        </w:rPr>
        <w:t xml:space="preserve">  </w:t>
      </w:r>
      <w:r>
        <w:rPr>
          <w:rFonts w:hint="eastAsia" w:ascii="仿宋_GB2312" w:eastAsia="仿宋_GB2312"/>
          <w:sz w:val="32"/>
          <w:szCs w:val="32"/>
        </w:rPr>
        <w:t>为保障工伤门诊医疗服务质量，工伤门诊实行签约式管理。工伤职工就近选择3家协议医疗机构作为门诊就医签约医疗机构，签约医疗机构根据工伤职工伤情为工伤职工制定门诊治疗方案对症施治。确因伤情需要，也可自行选择自治区范围内具有专业优势或诊疗经验丰富的协议医疗机构门诊签约就医，但总签约医疗机构不超过3家。</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签约医疗机构应保持相对稳定，工伤职工一般每年（自然年度）可变更一次签约医疗机构。</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第十九条</w:t>
      </w:r>
      <w:r>
        <w:rPr>
          <w:rFonts w:ascii="仿宋_GB2312" w:eastAsia="仿宋_GB2312"/>
          <w:sz w:val="32"/>
          <w:szCs w:val="32"/>
        </w:rPr>
        <w:t xml:space="preserve">  </w:t>
      </w:r>
      <w:r>
        <w:rPr>
          <w:rFonts w:hint="eastAsia" w:ascii="仿宋_GB2312" w:eastAsia="仿宋_GB2312"/>
          <w:sz w:val="32"/>
          <w:szCs w:val="32"/>
        </w:rPr>
        <w:t>工伤职工在自治区范围内协议医疗机构住院治疗工伤，原则上就近在协议医疗机构就医，确因伤情需要，也可自行选择具有专业优势或诊疗经验丰富的协议医疗机构就医。协议医疗机构全自治区互认，应接收全自治区各市县工伤职工持卡就医，直接联网结算。</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第二十条</w:t>
      </w:r>
      <w:r>
        <w:rPr>
          <w:rFonts w:ascii="仿宋_GB2312" w:eastAsia="仿宋_GB2312"/>
          <w:sz w:val="32"/>
          <w:szCs w:val="32"/>
        </w:rPr>
        <w:t xml:space="preserve">  </w:t>
      </w:r>
      <w:r>
        <w:rPr>
          <w:rFonts w:hint="eastAsia" w:ascii="仿宋_GB2312" w:eastAsia="仿宋_GB2312"/>
          <w:sz w:val="32"/>
          <w:szCs w:val="32"/>
        </w:rPr>
        <w:t>工伤职工工伤复发，需由协议医疗机构出具工伤复发诊断意见,填写《宁夏回族自治区工伤复发就医备案表》(附件1),由工伤职工签字确认后留存协议医疗机构备查，同时，协议医疗机构以电子PDF形式上传社保经办机构。</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对工伤复发有争议的，由劳动能力鉴定机构确定。</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第二十一条</w:t>
      </w:r>
      <w:r>
        <w:rPr>
          <w:rFonts w:ascii="仿宋_GB2312" w:eastAsia="仿宋_GB2312"/>
          <w:sz w:val="32"/>
          <w:szCs w:val="32"/>
        </w:rPr>
        <w:t xml:space="preserve">  </w:t>
      </w:r>
      <w:r>
        <w:rPr>
          <w:rFonts w:hint="eastAsia" w:ascii="仿宋_GB2312" w:eastAsia="仿宋_GB2312"/>
          <w:sz w:val="32"/>
          <w:szCs w:val="32"/>
        </w:rPr>
        <w:t>无法确定工伤与疾病之间有无因果关系的，医疗机构应积极配合用人单位按要求准备材料报送社会保险经办机构，由其委托劳动能力鉴定委员会组织医疗卫生专家进行确认。经劳动能力鉴定委员会确认因工伤引发的疾病，所产生的符合规定的医疗费用，由工伤保险基金支付。</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第二十二条</w:t>
      </w:r>
      <w:r>
        <w:rPr>
          <w:rFonts w:ascii="仿宋_GB2312" w:eastAsia="仿宋_GB2312"/>
          <w:sz w:val="32"/>
          <w:szCs w:val="32"/>
        </w:rPr>
        <w:t xml:space="preserve">  </w:t>
      </w:r>
      <w:r>
        <w:rPr>
          <w:rFonts w:hint="eastAsia" w:ascii="仿宋_GB2312" w:eastAsia="仿宋_GB2312"/>
          <w:sz w:val="32"/>
          <w:szCs w:val="32"/>
        </w:rPr>
        <w:t>工伤职工经临床急性期治疗后，生命体征基本平稳，病情相对稳定，但仍有持续性功能障碍而影响生活自理、劳动能力下降，且具有恢复潜力和康复价值的，鼓励工伤</w:t>
      </w:r>
      <w:r>
        <w:rPr>
          <w:rFonts w:ascii="仿宋_GB2312" w:eastAsia="仿宋_GB2312"/>
          <w:sz w:val="32"/>
          <w:szCs w:val="32"/>
        </w:rPr>
        <w:t>职工先</w:t>
      </w:r>
      <w:r>
        <w:rPr>
          <w:rFonts w:hint="eastAsia" w:ascii="仿宋_GB2312" w:eastAsia="仿宋_GB2312"/>
          <w:sz w:val="32"/>
          <w:szCs w:val="32"/>
        </w:rPr>
        <w:t>到工伤保险协议康复机构进行康复治疗，及时从医疗就诊阶段转入工伤康复治疗，最大限度恢复劳动生活能力。</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第二十三条</w:t>
      </w:r>
      <w:r>
        <w:rPr>
          <w:rFonts w:ascii="仿宋_GB2312" w:eastAsia="仿宋_GB2312"/>
          <w:sz w:val="32"/>
          <w:szCs w:val="32"/>
        </w:rPr>
        <w:t xml:space="preserve">  </w:t>
      </w:r>
      <w:r>
        <w:rPr>
          <w:rFonts w:hint="eastAsia" w:ascii="仿宋_GB2312" w:eastAsia="仿宋_GB2312"/>
          <w:sz w:val="32"/>
          <w:szCs w:val="32"/>
        </w:rPr>
        <w:t>工伤职工医疗治疗终结前，医疗机构应组织副高以上相关专家对工伤职工进行康复价值初步评估,形成初步评估报告。确认具有康复价值的,协助工伤职工填写《宁夏回族自治区工伤职工工伤康复申请确认表》(附件2),由工伤职工向参保地设区的市劳动能力鉴定委员会申请康复对象确认。</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第二十四条</w:t>
      </w:r>
      <w:r>
        <w:rPr>
          <w:rFonts w:ascii="仿宋_GB2312" w:eastAsia="仿宋_GB2312"/>
          <w:sz w:val="32"/>
          <w:szCs w:val="32"/>
        </w:rPr>
        <w:t xml:space="preserve">  </w:t>
      </w:r>
      <w:r>
        <w:rPr>
          <w:rFonts w:hint="eastAsia" w:ascii="仿宋_GB2312" w:eastAsia="仿宋_GB2312"/>
          <w:sz w:val="32"/>
          <w:szCs w:val="32"/>
        </w:rPr>
        <w:t>设区的市劳动能力鉴定委员会收到申请后及时组织专家确认，确认结论及时反馈工伤职工、用人单位，同时报经办机构备案。经设区的市劳动能力鉴定委员会确认为康复对象的工伤职工在工伤保险康复协议医疗机构康复治疗，联网结算。</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工伤康复档案应记录康复治疗过程，包括工伤康复计划、康复治疗处方、康复项目的实施人、实施时间、实施次数，经工伤职工或其近亲属签字确认的康复执行单以及康复评定等。</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第二十五条</w:t>
      </w:r>
      <w:r>
        <w:rPr>
          <w:rFonts w:ascii="仿宋_GB2312" w:eastAsia="仿宋_GB2312"/>
          <w:sz w:val="32"/>
          <w:szCs w:val="32"/>
        </w:rPr>
        <w:t xml:space="preserve">  </w:t>
      </w:r>
      <w:r>
        <w:rPr>
          <w:rFonts w:hint="eastAsia" w:ascii="仿宋_GB2312" w:eastAsia="仿宋_GB2312"/>
          <w:sz w:val="32"/>
          <w:szCs w:val="32"/>
        </w:rPr>
        <w:t>工伤职工按规定在自治区范围内协议医疗机构治疗工伤，应由工伤保险基金支付的费用，由协议医疗机构与就医地社保经办机构直接结算，工伤职工或用人单位只承担个人自付费用。</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第二十六条</w:t>
      </w:r>
      <w:r>
        <w:rPr>
          <w:rFonts w:ascii="仿宋_GB2312" w:eastAsia="仿宋_GB2312"/>
          <w:sz w:val="32"/>
          <w:szCs w:val="32"/>
        </w:rPr>
        <w:t xml:space="preserve">  </w:t>
      </w:r>
      <w:r>
        <w:rPr>
          <w:rFonts w:hint="eastAsia" w:ascii="仿宋_GB2312" w:eastAsia="仿宋_GB2312"/>
          <w:sz w:val="32"/>
          <w:szCs w:val="32"/>
        </w:rPr>
        <w:t>工伤认定决定书下达前，已经</w:t>
      </w:r>
      <w:r>
        <w:rPr>
          <w:rFonts w:ascii="仿宋_GB2312" w:eastAsia="仿宋_GB2312"/>
          <w:sz w:val="32"/>
          <w:szCs w:val="32"/>
        </w:rPr>
        <w:t>产生的医疗费用</w:t>
      </w:r>
      <w:r>
        <w:rPr>
          <w:rFonts w:hint="eastAsia" w:ascii="仿宋_GB2312" w:eastAsia="仿宋_GB2312"/>
          <w:sz w:val="32"/>
          <w:szCs w:val="32"/>
        </w:rPr>
        <w:t>由用人单位或</w:t>
      </w:r>
      <w:r>
        <w:rPr>
          <w:rFonts w:ascii="仿宋_GB2312" w:eastAsia="仿宋_GB2312"/>
          <w:sz w:val="32"/>
          <w:szCs w:val="32"/>
        </w:rPr>
        <w:t>参保职工</w:t>
      </w:r>
      <w:r>
        <w:rPr>
          <w:rFonts w:hint="eastAsia" w:ascii="仿宋_GB2312" w:eastAsia="仿宋_GB2312"/>
          <w:sz w:val="32"/>
          <w:szCs w:val="32"/>
        </w:rPr>
        <w:t>先行垫付，协议医疗机构待工伤认定决定书下达后，采取自费转工伤的方式结算，符合</w:t>
      </w:r>
      <w:r>
        <w:rPr>
          <w:rFonts w:ascii="仿宋_GB2312" w:eastAsia="仿宋_GB2312"/>
          <w:sz w:val="32"/>
          <w:szCs w:val="32"/>
        </w:rPr>
        <w:t>工伤保险三项目录</w:t>
      </w:r>
      <w:r>
        <w:rPr>
          <w:rFonts w:hint="eastAsia" w:ascii="仿宋_GB2312" w:eastAsia="仿宋_GB2312"/>
          <w:sz w:val="32"/>
          <w:szCs w:val="32"/>
        </w:rPr>
        <w:t>由工伤保险基金承担。</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 xml:space="preserve">第二十七条  </w:t>
      </w:r>
      <w:r>
        <w:rPr>
          <w:rFonts w:hint="eastAsia" w:ascii="仿宋_GB2312" w:eastAsia="仿宋_GB2312"/>
          <w:sz w:val="32"/>
          <w:szCs w:val="32"/>
        </w:rPr>
        <w:t>工伤职工因自治区内协议医疗机构医疗技术和设备不能诊治或康复，符合参保地转诊转院要求，需转外省就医或康复的，应由协议医疗机构办理转诊转院备案手续，并将转诊转院意见及备案情况等信息同步上传至参保地经办机构，经办机构审核通过，可在治疗终结后跨省直接结算医疗费用。不能直接结算的，按规定持转诊转院证明材料、相关票据及费用清单材料等到参保地社保经办机构报销。</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第二十八条</w:t>
      </w:r>
      <w:r>
        <w:rPr>
          <w:rFonts w:ascii="楷体_GB2312" w:eastAsia="楷体_GB2312"/>
          <w:b/>
          <w:sz w:val="32"/>
          <w:szCs w:val="32"/>
        </w:rPr>
        <w:t xml:space="preserve"> </w:t>
      </w:r>
      <w:r>
        <w:rPr>
          <w:rFonts w:ascii="仿宋_GB2312" w:eastAsia="仿宋_GB2312"/>
          <w:sz w:val="32"/>
          <w:szCs w:val="32"/>
        </w:rPr>
        <w:t xml:space="preserve"> </w:t>
      </w:r>
      <w:r>
        <w:rPr>
          <w:rFonts w:hint="eastAsia" w:ascii="仿宋_GB2312" w:eastAsia="仿宋_GB2312"/>
          <w:sz w:val="32"/>
          <w:szCs w:val="32"/>
        </w:rPr>
        <w:t>工伤职工在自治区外居住（工作）半年（含）以上，符合参保地异地就医（康复）要求的，可向参保地经办机构申请备案。由经办机构审核通过，可以跨省直接结算医疗费用。不能直接结算的，按规定持居外就医证明材料、相关票据及费用清单材料等到参保地社保经办机构报销。</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第二十九条</w:t>
      </w:r>
      <w:r>
        <w:rPr>
          <w:rFonts w:ascii="仿宋_GB2312" w:eastAsia="仿宋_GB2312"/>
          <w:sz w:val="32"/>
          <w:szCs w:val="32"/>
        </w:rPr>
        <w:t xml:space="preserve">  </w:t>
      </w:r>
      <w:r>
        <w:rPr>
          <w:rFonts w:hint="eastAsia" w:ascii="仿宋_GB2312" w:eastAsia="仿宋_GB2312"/>
          <w:sz w:val="32"/>
          <w:szCs w:val="32"/>
        </w:rPr>
        <w:t>工伤职工区内异地就医费用，由就医地社保经办机构与医疗机构进行结算，并定期与参保地社保经办机构进行清算，相关信息、数据通过自治区工伤保险即时结算系统进行记账、分账、汇总、清算。</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工伤职工区内异地就医费用定期清算，工伤保险即时结算系统定期按市(本级)、县(区)汇总本地参保工伤职工区内异地就医基金应支金额(本地基金应支金额)和外市、县(区)参保工伤职工在本地协议医疗机构就医基金应收金额(异地基金应收金额),由各市、县自行清算。</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工伤职工到区外就医费用和外省职工到我区就医费用结算、清算按照《宁夏回族自治区工伤保险跨省异地就医直接结算经办规程》有关规定进行结算、清算。</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第三十条</w:t>
      </w:r>
      <w:r>
        <w:rPr>
          <w:rFonts w:ascii="仿宋_GB2312" w:eastAsia="仿宋_GB2312"/>
          <w:sz w:val="32"/>
          <w:szCs w:val="32"/>
        </w:rPr>
        <w:t xml:space="preserve">  </w:t>
      </w:r>
      <w:r>
        <w:rPr>
          <w:rFonts w:hint="eastAsia" w:ascii="仿宋_GB2312" w:eastAsia="仿宋_GB2312"/>
          <w:sz w:val="32"/>
          <w:szCs w:val="32"/>
        </w:rPr>
        <w:t>工伤职工下列费用，工伤保险基金不予支付。</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（一）工伤职工治疗非工伤疾病所发生的费用；</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（二）符合出院条件拒不出院继续发生的费用；</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（三）未经社保经办机构批准自行转入其他医疗机构治疗所 发生的费用；</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（四）涉及</w:t>
      </w:r>
      <w:r>
        <w:rPr>
          <w:rFonts w:ascii="仿宋_GB2312" w:eastAsia="仿宋_GB2312"/>
          <w:sz w:val="32"/>
          <w:szCs w:val="32"/>
        </w:rPr>
        <w:t>第三方责任的，</w:t>
      </w:r>
      <w:r>
        <w:rPr>
          <w:rFonts w:hint="eastAsia" w:ascii="仿宋_GB2312" w:eastAsia="仿宋_GB2312"/>
          <w:sz w:val="32"/>
          <w:szCs w:val="32"/>
        </w:rPr>
        <w:t>已由</w:t>
      </w:r>
      <w:r>
        <w:rPr>
          <w:rFonts w:ascii="仿宋_GB2312" w:eastAsia="仿宋_GB2312"/>
          <w:sz w:val="32"/>
          <w:szCs w:val="32"/>
        </w:rPr>
        <w:t>第三方</w:t>
      </w:r>
      <w:r>
        <w:rPr>
          <w:rFonts w:hint="eastAsia" w:ascii="仿宋_GB2312" w:eastAsia="仿宋_GB2312"/>
          <w:sz w:val="32"/>
          <w:szCs w:val="32"/>
        </w:rPr>
        <w:t>支付</w:t>
      </w:r>
      <w:r>
        <w:rPr>
          <w:rFonts w:ascii="仿宋_GB2312" w:eastAsia="仿宋_GB2312"/>
          <w:sz w:val="32"/>
          <w:szCs w:val="32"/>
        </w:rPr>
        <w:t>的医疗费用；</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（五）超出工伤保险支付范围的费用；</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（六）其他违反工伤保险有关规定的费用。</w:t>
      </w:r>
    </w:p>
    <w:p>
      <w:pPr>
        <w:spacing w:line="560" w:lineRule="atLeast"/>
        <w:jc w:val="both"/>
        <w:rPr>
          <w:rFonts w:ascii="黑体" w:hAnsi="黑体" w:eastAsia="黑体"/>
          <w:sz w:val="32"/>
          <w:szCs w:val="32"/>
        </w:rPr>
      </w:pPr>
    </w:p>
    <w:p>
      <w:pPr>
        <w:spacing w:line="560" w:lineRule="atLeast"/>
        <w:jc w:val="center"/>
        <w:rPr>
          <w:rFonts w:ascii="黑体" w:hAnsi="黑体" w:eastAsia="黑体"/>
          <w:sz w:val="32"/>
          <w:szCs w:val="32"/>
        </w:rPr>
      </w:pPr>
      <w:r>
        <w:rPr>
          <w:rFonts w:hint="eastAsia" w:ascii="黑体" w:hAnsi="黑体" w:eastAsia="黑体"/>
          <w:sz w:val="32"/>
          <w:szCs w:val="32"/>
        </w:rPr>
        <w:t>第四章  稽核监督</w:t>
      </w:r>
    </w:p>
    <w:p>
      <w:pPr>
        <w:spacing w:line="560" w:lineRule="atLeast"/>
        <w:jc w:val="both"/>
        <w:rPr>
          <w:rFonts w:ascii="黑体" w:hAnsi="黑体" w:eastAsia="黑体"/>
          <w:sz w:val="32"/>
          <w:szCs w:val="32"/>
        </w:rPr>
      </w:pP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第三十一条</w:t>
      </w:r>
      <w:r>
        <w:rPr>
          <w:rFonts w:hint="eastAsia" w:ascii="仿宋_GB2312" w:eastAsia="仿宋_GB2312"/>
          <w:sz w:val="32"/>
          <w:szCs w:val="32"/>
        </w:rPr>
        <w:t xml:space="preserve">  自治区人力资源社会保障部门建立工伤保险医疗</w:t>
      </w:r>
      <w:r>
        <w:rPr>
          <w:rFonts w:ascii="仿宋_GB2312" w:eastAsia="仿宋_GB2312"/>
          <w:sz w:val="32"/>
          <w:szCs w:val="32"/>
        </w:rPr>
        <w:t>费用</w:t>
      </w:r>
      <w:r>
        <w:rPr>
          <w:rFonts w:hint="eastAsia" w:ascii="仿宋_GB2312" w:eastAsia="仿宋_GB2312"/>
          <w:sz w:val="32"/>
          <w:szCs w:val="32"/>
        </w:rPr>
        <w:t>智能</w:t>
      </w:r>
      <w:r>
        <w:rPr>
          <w:rFonts w:ascii="仿宋_GB2312" w:eastAsia="仿宋_GB2312"/>
          <w:sz w:val="32"/>
          <w:szCs w:val="32"/>
        </w:rPr>
        <w:t>审核</w:t>
      </w:r>
      <w:r>
        <w:rPr>
          <w:rFonts w:hint="eastAsia" w:ascii="仿宋_GB2312" w:eastAsia="仿宋_GB2312"/>
          <w:sz w:val="32"/>
          <w:szCs w:val="32"/>
        </w:rPr>
        <w:t>功能模块，建立审核规则</w:t>
      </w:r>
      <w:r>
        <w:rPr>
          <w:rFonts w:ascii="仿宋_GB2312" w:eastAsia="仿宋_GB2312"/>
          <w:sz w:val="32"/>
          <w:szCs w:val="32"/>
        </w:rPr>
        <w:t>知识库</w:t>
      </w:r>
      <w:r>
        <w:rPr>
          <w:rFonts w:hint="eastAsia" w:ascii="仿宋_GB2312" w:eastAsia="仿宋_GB2312"/>
          <w:sz w:val="32"/>
          <w:szCs w:val="32"/>
        </w:rPr>
        <w:t>，开展工伤医疗费数据分析，加强工伤医疗服务行为和工伤职工就医行为的管理。</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社保经办机构通过智能审核、大数据分析、组织第三方专家评审等方式对协议医疗机构医疗费用进行审核，对</w:t>
      </w:r>
      <w:r>
        <w:rPr>
          <w:rFonts w:ascii="仿宋_GB2312" w:eastAsia="仿宋_GB2312"/>
          <w:sz w:val="32"/>
          <w:szCs w:val="32"/>
        </w:rPr>
        <w:t>服务机构履行服务协议情况开展定期、不定期稽核，经办机构通过信息系统实时监控（</w:t>
      </w:r>
      <w:r>
        <w:rPr>
          <w:rFonts w:hint="eastAsia" w:ascii="仿宋_GB2312" w:eastAsia="仿宋_GB2312"/>
          <w:sz w:val="32"/>
          <w:szCs w:val="32"/>
        </w:rPr>
        <w:t>如</w:t>
      </w:r>
      <w:r>
        <w:rPr>
          <w:rFonts w:ascii="仿宋_GB2312" w:eastAsia="仿宋_GB2312"/>
          <w:sz w:val="32"/>
          <w:szCs w:val="32"/>
        </w:rPr>
        <w:t>费用波动、就诊频次预警）</w:t>
      </w:r>
      <w:r>
        <w:rPr>
          <w:rFonts w:hint="eastAsia" w:ascii="仿宋_GB2312" w:eastAsia="仿宋_GB2312"/>
          <w:sz w:val="32"/>
          <w:szCs w:val="32"/>
        </w:rPr>
        <w:t>，</w:t>
      </w:r>
      <w:r>
        <w:rPr>
          <w:rFonts w:ascii="仿宋_GB2312" w:eastAsia="仿宋_GB2312"/>
          <w:sz w:val="32"/>
          <w:szCs w:val="32"/>
        </w:rPr>
        <w:t>对服务机构按月、季度开展数据筛查，对异常情况标记并追踪。</w:t>
      </w:r>
      <w:r>
        <w:rPr>
          <w:rFonts w:hint="eastAsia" w:ascii="仿宋_GB2312" w:eastAsia="仿宋_GB2312"/>
          <w:sz w:val="32"/>
          <w:szCs w:val="32"/>
        </w:rPr>
        <w:t>对协议医疗机构违规行为涉及的费用，工伤保险基金不予支付，已支付的依法追回。</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社保经办机构对就医行为异常或医疗费用异常的工伤职工，除核查相关就医资料、数据外，根据需要可采取暂停即时结算、约谈等措施进行调查核实。</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第三十二条</w:t>
      </w:r>
      <w:r>
        <w:rPr>
          <w:rFonts w:ascii="楷体_GB2312" w:eastAsia="楷体_GB2312"/>
          <w:b/>
          <w:sz w:val="32"/>
          <w:szCs w:val="32"/>
        </w:rPr>
        <w:t xml:space="preserve"> </w:t>
      </w:r>
      <w:r>
        <w:rPr>
          <w:rFonts w:ascii="仿宋_GB2312" w:eastAsia="仿宋_GB2312"/>
          <w:sz w:val="32"/>
          <w:szCs w:val="32"/>
        </w:rPr>
        <w:t xml:space="preserve"> </w:t>
      </w:r>
      <w:r>
        <w:rPr>
          <w:rFonts w:hint="eastAsia" w:ascii="仿宋_GB2312" w:eastAsia="仿宋_GB2312"/>
          <w:sz w:val="32"/>
          <w:szCs w:val="32"/>
        </w:rPr>
        <w:t>社保经办机构建立社会监督评价和信用管理机制，服务</w:t>
      </w:r>
      <w:r>
        <w:rPr>
          <w:rFonts w:ascii="仿宋_GB2312" w:eastAsia="仿宋_GB2312"/>
          <w:sz w:val="32"/>
          <w:szCs w:val="32"/>
        </w:rPr>
        <w:t>机构应建立内部稽核制度，定期对本机构工伤保险服务开展自查，</w:t>
      </w:r>
      <w:r>
        <w:rPr>
          <w:rFonts w:hint="eastAsia" w:ascii="仿宋_GB2312" w:eastAsia="仿宋_GB2312"/>
          <w:sz w:val="32"/>
          <w:szCs w:val="32"/>
        </w:rPr>
        <w:t>对协议医疗机构医疗服务质量、医疗费用水平、工伤职工满意度等进行综合评价。</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第三十三条</w:t>
      </w:r>
      <w:r>
        <w:rPr>
          <w:rFonts w:ascii="楷体_GB2312" w:eastAsia="楷体_GB2312"/>
          <w:b/>
          <w:sz w:val="32"/>
          <w:szCs w:val="32"/>
        </w:rPr>
        <w:t xml:space="preserve">   </w:t>
      </w:r>
      <w:r>
        <w:rPr>
          <w:rFonts w:hint="eastAsia" w:ascii="仿宋_GB2312" w:eastAsia="仿宋_GB2312"/>
          <w:sz w:val="32"/>
          <w:szCs w:val="32"/>
        </w:rPr>
        <w:t>用人单位、工伤职工或其近亲属、协议医疗机构存在侵害工伤保险基金行为涉嫌欺诈骗保的，社会保险经办机构应当按规定追回已支付的基金，并移交同级社会保险行政部门依法进行查处。涉嫌犯罪的，社会保险行政部门应当及时向公安机关移送案件。</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 xml:space="preserve">第三十四条 </w:t>
      </w:r>
      <w:r>
        <w:rPr>
          <w:rFonts w:hint="eastAsia" w:ascii="仿宋_GB2312" w:eastAsia="仿宋_GB2312"/>
          <w:sz w:val="32"/>
          <w:szCs w:val="32"/>
        </w:rPr>
        <w:t xml:space="preserve"> 社会保险经办机构不按时足额结算费用的，由同级社会保险行政部门责令整改。</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第三十五条</w:t>
      </w:r>
      <w:r>
        <w:rPr>
          <w:rFonts w:ascii="楷体_GB2312" w:eastAsia="楷体_GB2312"/>
          <w:b/>
          <w:sz w:val="32"/>
          <w:szCs w:val="32"/>
        </w:rPr>
        <w:t xml:space="preserve"> </w:t>
      </w:r>
      <w:r>
        <w:rPr>
          <w:rFonts w:ascii="仿宋_GB2312" w:eastAsia="仿宋_GB2312"/>
          <w:sz w:val="32"/>
          <w:szCs w:val="32"/>
        </w:rPr>
        <w:t xml:space="preserve"> </w:t>
      </w:r>
      <w:r>
        <w:rPr>
          <w:rFonts w:hint="eastAsia" w:ascii="仿宋_GB2312" w:eastAsia="仿宋_GB2312"/>
          <w:sz w:val="32"/>
          <w:szCs w:val="32"/>
        </w:rPr>
        <w:t>市、县(区)人力资源社会保障部门会同卫生健康部门、财政部门，对协议医疗机构工伤医疗服务情况和社保经办机构协议管理情况进行监督检查，按年度对协议医疗机构协议履行情况进行考核，将协议医疗机构日常检查情况和年度考核结果纳入绩效考核。</w:t>
      </w:r>
    </w:p>
    <w:p>
      <w:pPr>
        <w:spacing w:line="560" w:lineRule="atLeast"/>
        <w:jc w:val="both"/>
        <w:rPr>
          <w:rFonts w:ascii="黑体" w:hAnsi="黑体" w:eastAsia="黑体"/>
          <w:sz w:val="32"/>
          <w:szCs w:val="32"/>
        </w:rPr>
      </w:pPr>
    </w:p>
    <w:p>
      <w:pPr>
        <w:spacing w:line="560" w:lineRule="atLeast"/>
        <w:jc w:val="center"/>
        <w:rPr>
          <w:rFonts w:ascii="黑体" w:hAnsi="黑体" w:eastAsia="黑体"/>
          <w:sz w:val="32"/>
          <w:szCs w:val="32"/>
        </w:rPr>
      </w:pPr>
      <w:r>
        <w:rPr>
          <w:rFonts w:hint="eastAsia" w:ascii="黑体" w:hAnsi="黑体" w:eastAsia="黑体"/>
          <w:sz w:val="32"/>
          <w:szCs w:val="32"/>
        </w:rPr>
        <w:t>第五章  附  则</w:t>
      </w:r>
    </w:p>
    <w:p>
      <w:pPr>
        <w:spacing w:line="560" w:lineRule="atLeast"/>
        <w:jc w:val="both"/>
        <w:rPr>
          <w:rFonts w:ascii="黑体" w:hAnsi="黑体" w:eastAsia="黑体"/>
          <w:sz w:val="32"/>
          <w:szCs w:val="32"/>
        </w:rPr>
      </w:pPr>
    </w:p>
    <w:p>
      <w:pPr>
        <w:spacing w:line="560" w:lineRule="atLeast"/>
        <w:ind w:firstLine="643" w:firstLineChars="200"/>
        <w:rPr>
          <w:rFonts w:ascii="仿宋_GB2312" w:eastAsia="仿宋_GB2312"/>
          <w:sz w:val="32"/>
          <w:szCs w:val="32"/>
        </w:rPr>
      </w:pPr>
      <w:bookmarkStart w:id="5" w:name="OLE_LINK1"/>
      <w:bookmarkStart w:id="6" w:name="OLE_LINK2"/>
      <w:r>
        <w:rPr>
          <w:rFonts w:hint="eastAsia" w:ascii="楷体_GB2312" w:eastAsia="楷体_GB2312"/>
          <w:b/>
          <w:sz w:val="32"/>
          <w:szCs w:val="32"/>
        </w:rPr>
        <w:t>第三十六条</w:t>
      </w:r>
      <w:bookmarkEnd w:id="5"/>
      <w:bookmarkEnd w:id="6"/>
      <w:r>
        <w:rPr>
          <w:rFonts w:ascii="仿宋_GB2312" w:eastAsia="仿宋_GB2312"/>
          <w:sz w:val="32"/>
          <w:szCs w:val="32"/>
        </w:rPr>
        <w:t xml:space="preserve">  </w:t>
      </w:r>
      <w:r>
        <w:rPr>
          <w:rFonts w:hint="eastAsia" w:ascii="仿宋_GB2312" w:eastAsia="仿宋_GB2312"/>
          <w:sz w:val="32"/>
          <w:szCs w:val="32"/>
        </w:rPr>
        <w:t>工伤辅助器具配置的服务管理参照本办法执行。</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第三十七条</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本办法执行过程中，与国家、自治区新出台的政策规定不相符的，从其规定。</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第三十八条</w:t>
      </w:r>
      <w:r>
        <w:rPr>
          <w:rFonts w:hint="eastAsia" w:ascii="仿宋_GB2312" w:eastAsia="仿宋_GB2312"/>
          <w:sz w:val="32"/>
          <w:szCs w:val="32"/>
        </w:rPr>
        <w:t xml:space="preserve">  本办法由自治区人力资源和社会保障厅负责解释。</w:t>
      </w:r>
    </w:p>
    <w:p>
      <w:pPr>
        <w:spacing w:line="560" w:lineRule="atLeast"/>
        <w:ind w:firstLine="643" w:firstLineChars="200"/>
        <w:rPr>
          <w:rFonts w:ascii="仿宋_GB2312" w:eastAsia="仿宋_GB2312"/>
          <w:sz w:val="32"/>
          <w:szCs w:val="32"/>
        </w:rPr>
      </w:pPr>
      <w:r>
        <w:rPr>
          <w:rFonts w:hint="eastAsia" w:ascii="楷体_GB2312" w:eastAsia="楷体_GB2312"/>
          <w:b/>
          <w:sz w:val="32"/>
          <w:szCs w:val="32"/>
        </w:rPr>
        <w:t>第三十九条</w:t>
      </w:r>
      <w:r>
        <w:rPr>
          <w:rFonts w:ascii="楷体_GB2312" w:eastAsia="楷体_GB2312"/>
          <w:b/>
          <w:sz w:val="32"/>
          <w:szCs w:val="32"/>
        </w:rPr>
        <w:t xml:space="preserve"> </w:t>
      </w:r>
      <w:r>
        <w:rPr>
          <w:rFonts w:ascii="仿宋_GB2312" w:eastAsia="仿宋_GB2312"/>
          <w:sz w:val="32"/>
          <w:szCs w:val="32"/>
        </w:rPr>
        <w:t xml:space="preserve"> </w:t>
      </w:r>
      <w:r>
        <w:rPr>
          <w:rFonts w:hint="eastAsia" w:ascii="仿宋_GB2312" w:eastAsia="仿宋_GB2312"/>
          <w:sz w:val="32"/>
          <w:szCs w:val="32"/>
        </w:rPr>
        <w:t>本办法自</w:t>
      </w:r>
      <w:r>
        <w:rPr>
          <w:rFonts w:ascii="仿宋_GB2312" w:eastAsia="仿宋_GB2312"/>
          <w:sz w:val="32"/>
          <w:szCs w:val="32"/>
        </w:rPr>
        <w:t xml:space="preserve">  </w:t>
      </w: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日起施行，有效期  年。</w:t>
      </w:r>
    </w:p>
    <w:p>
      <w:pPr>
        <w:spacing w:line="560" w:lineRule="exact"/>
        <w:rPr>
          <w:rFonts w:ascii="黑体" w:hAnsi="黑体" w:eastAsia="黑体"/>
          <w:sz w:val="32"/>
          <w:szCs w:val="32"/>
        </w:rPr>
      </w:pPr>
      <w:bookmarkStart w:id="7" w:name="OLE_LINK4"/>
      <w:bookmarkStart w:id="8" w:name="OLE_LINK5"/>
      <w:bookmarkStart w:id="9" w:name="_GoBack"/>
      <w:bookmarkEnd w:id="9"/>
      <w:r>
        <w:rPr>
          <w:rFonts w:ascii="黑体" w:hAnsi="黑体" w:eastAsia="黑体"/>
          <w:sz w:val="32"/>
          <w:szCs w:val="32"/>
        </w:rPr>
        <w:t>附件1</w:t>
      </w:r>
    </w:p>
    <w:bookmarkEnd w:id="7"/>
    <w:bookmarkEnd w:id="8"/>
    <w:p>
      <w:pPr>
        <w:spacing w:line="560" w:lineRule="exact"/>
        <w:jc w:val="center"/>
        <w:rPr>
          <w:rFonts w:ascii="Times New Roman" w:hAnsi="Times New Roman" w:eastAsia="方正小标宋简体"/>
          <w:kern w:val="0"/>
          <w:sz w:val="44"/>
          <w:szCs w:val="44"/>
        </w:rPr>
      </w:pPr>
      <w:r>
        <w:rPr>
          <w:rFonts w:hint="eastAsia" w:ascii="Times New Roman" w:hAnsi="Times New Roman" w:eastAsia="方正小标宋简体"/>
          <w:kern w:val="0"/>
          <w:sz w:val="44"/>
          <w:szCs w:val="44"/>
        </w:rPr>
        <w:t>宁夏回族</w:t>
      </w:r>
      <w:r>
        <w:rPr>
          <w:rFonts w:ascii="Times New Roman" w:hAnsi="Times New Roman" w:eastAsia="方正小标宋简体"/>
          <w:kern w:val="0"/>
          <w:sz w:val="44"/>
          <w:szCs w:val="44"/>
        </w:rPr>
        <w:t>自治区工伤</w:t>
      </w:r>
      <w:r>
        <w:rPr>
          <w:rFonts w:hint="eastAsia" w:ascii="Times New Roman" w:hAnsi="Times New Roman" w:eastAsia="方正小标宋简体"/>
          <w:kern w:val="0"/>
          <w:sz w:val="44"/>
          <w:szCs w:val="44"/>
        </w:rPr>
        <w:t>复</w:t>
      </w:r>
      <w:r>
        <w:rPr>
          <w:rFonts w:ascii="Times New Roman" w:hAnsi="Times New Roman" w:eastAsia="方正小标宋简体"/>
          <w:kern w:val="0"/>
          <w:sz w:val="44"/>
          <w:szCs w:val="44"/>
        </w:rPr>
        <w:t>发</w:t>
      </w:r>
      <w:r>
        <w:rPr>
          <w:rFonts w:hint="eastAsia" w:ascii="Times New Roman" w:hAnsi="Times New Roman" w:eastAsia="方正小标宋简体"/>
          <w:kern w:val="0"/>
          <w:sz w:val="44"/>
          <w:szCs w:val="44"/>
        </w:rPr>
        <w:t>就</w:t>
      </w:r>
      <w:r>
        <w:rPr>
          <w:rFonts w:ascii="Times New Roman" w:hAnsi="Times New Roman" w:eastAsia="方正小标宋简体"/>
          <w:kern w:val="0"/>
          <w:sz w:val="44"/>
          <w:szCs w:val="44"/>
        </w:rPr>
        <w:t>医</w:t>
      </w:r>
      <w:r>
        <w:rPr>
          <w:rFonts w:hint="eastAsia" w:ascii="Times New Roman" w:hAnsi="Times New Roman" w:eastAsia="方正小标宋简体"/>
          <w:kern w:val="0"/>
          <w:sz w:val="44"/>
          <w:szCs w:val="44"/>
        </w:rPr>
        <w:t>备案</w:t>
      </w:r>
      <w:r>
        <w:rPr>
          <w:rFonts w:ascii="Times New Roman" w:hAnsi="Times New Roman" w:eastAsia="方正小标宋简体"/>
          <w:kern w:val="0"/>
          <w:sz w:val="44"/>
          <w:szCs w:val="44"/>
        </w:rPr>
        <w:t>表</w:t>
      </w:r>
    </w:p>
    <w:p>
      <w:pPr>
        <w:spacing w:line="560" w:lineRule="exact"/>
        <w:jc w:val="left"/>
        <w:rPr>
          <w:rFonts w:ascii="仿宋_GB2312" w:hAnsi="宋体" w:eastAsia="仿宋_GB2312"/>
          <w:kern w:val="0"/>
          <w:sz w:val="24"/>
          <w:szCs w:val="24"/>
        </w:rPr>
      </w:pPr>
      <w:r>
        <w:rPr>
          <w:rFonts w:hint="eastAsia" w:ascii="仿宋_GB2312" w:hAnsi="宋体" w:eastAsia="仿宋_GB2312"/>
          <w:kern w:val="0"/>
          <w:sz w:val="24"/>
          <w:szCs w:val="24"/>
        </w:rPr>
        <w:t>单位名称：</w:t>
      </w:r>
    </w:p>
    <w:tbl>
      <w:tblPr>
        <w:tblStyle w:val="7"/>
        <w:tblW w:w="8834" w:type="dxa"/>
        <w:jc w:val="center"/>
        <w:tblInd w:w="0" w:type="dxa"/>
        <w:tblLayout w:type="fixed"/>
        <w:tblCellMar>
          <w:top w:w="0" w:type="dxa"/>
          <w:left w:w="108" w:type="dxa"/>
          <w:bottom w:w="0" w:type="dxa"/>
          <w:right w:w="108" w:type="dxa"/>
        </w:tblCellMar>
      </w:tblPr>
      <w:tblGrid>
        <w:gridCol w:w="1271"/>
        <w:gridCol w:w="334"/>
        <w:gridCol w:w="233"/>
        <w:gridCol w:w="538"/>
        <w:gridCol w:w="342"/>
        <w:gridCol w:w="389"/>
        <w:gridCol w:w="226"/>
        <w:gridCol w:w="352"/>
        <w:gridCol w:w="269"/>
        <w:gridCol w:w="76"/>
        <w:gridCol w:w="615"/>
        <w:gridCol w:w="527"/>
        <w:gridCol w:w="67"/>
        <w:gridCol w:w="284"/>
        <w:gridCol w:w="908"/>
        <w:gridCol w:w="652"/>
        <w:gridCol w:w="1751"/>
      </w:tblGrid>
      <w:tr>
        <w:tblPrEx>
          <w:tblLayout w:type="fixed"/>
          <w:tblCellMar>
            <w:top w:w="0" w:type="dxa"/>
            <w:left w:w="108" w:type="dxa"/>
            <w:bottom w:w="0" w:type="dxa"/>
            <w:right w:w="108" w:type="dxa"/>
          </w:tblCellMar>
        </w:tblPrEx>
        <w:trPr>
          <w:trHeight w:val="419" w:hRule="atLeast"/>
          <w:jc w:val="center"/>
        </w:trPr>
        <w:tc>
          <w:tcPr>
            <w:tcW w:w="2376" w:type="dxa"/>
            <w:gridSpan w:val="4"/>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姓名</w:t>
            </w:r>
          </w:p>
        </w:tc>
        <w:tc>
          <w:tcPr>
            <w:tcW w:w="957" w:type="dxa"/>
            <w:gridSpan w:val="3"/>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7" w:type="dxa"/>
            <w:gridSpan w:val="3"/>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性别　</w:t>
            </w:r>
          </w:p>
        </w:tc>
        <w:tc>
          <w:tcPr>
            <w:tcW w:w="615"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kern w:val="0"/>
                <w:sz w:val="24"/>
                <w:szCs w:val="24"/>
              </w:rPr>
            </w:pPr>
          </w:p>
        </w:tc>
        <w:tc>
          <w:tcPr>
            <w:tcW w:w="1786" w:type="dxa"/>
            <w:gridSpan w:val="4"/>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出生日期</w:t>
            </w:r>
          </w:p>
        </w:tc>
        <w:tc>
          <w:tcPr>
            <w:tcW w:w="2403"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Layout w:type="fixed"/>
          <w:tblCellMar>
            <w:top w:w="0" w:type="dxa"/>
            <w:left w:w="108" w:type="dxa"/>
            <w:bottom w:w="0" w:type="dxa"/>
            <w:right w:w="108" w:type="dxa"/>
          </w:tblCellMar>
        </w:tblPrEx>
        <w:trPr>
          <w:trHeight w:val="419" w:hRule="atLeast"/>
          <w:jc w:val="center"/>
        </w:trPr>
        <w:tc>
          <w:tcPr>
            <w:tcW w:w="2376" w:type="dxa"/>
            <w:gridSpan w:val="4"/>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身份证号码</w:t>
            </w:r>
          </w:p>
        </w:tc>
        <w:tc>
          <w:tcPr>
            <w:tcW w:w="2269" w:type="dxa"/>
            <w:gridSpan w:val="7"/>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786" w:type="dxa"/>
            <w:gridSpan w:val="4"/>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联系电话</w:t>
            </w:r>
          </w:p>
        </w:tc>
        <w:tc>
          <w:tcPr>
            <w:tcW w:w="2403" w:type="dxa"/>
            <w:gridSpan w:val="2"/>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Layout w:type="fixed"/>
          <w:tblCellMar>
            <w:top w:w="0" w:type="dxa"/>
            <w:left w:w="108" w:type="dxa"/>
            <w:bottom w:w="0" w:type="dxa"/>
            <w:right w:w="108" w:type="dxa"/>
          </w:tblCellMar>
        </w:tblPrEx>
        <w:trPr>
          <w:trHeight w:val="419" w:hRule="atLeast"/>
          <w:jc w:val="center"/>
        </w:trPr>
        <w:tc>
          <w:tcPr>
            <w:tcW w:w="2376" w:type="dxa"/>
            <w:gridSpan w:val="4"/>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工伤时间</w:t>
            </w:r>
          </w:p>
        </w:tc>
        <w:tc>
          <w:tcPr>
            <w:tcW w:w="2269" w:type="dxa"/>
            <w:gridSpan w:val="7"/>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786" w:type="dxa"/>
            <w:gridSpan w:val="4"/>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工伤认定时间</w:t>
            </w:r>
          </w:p>
        </w:tc>
        <w:tc>
          <w:tcPr>
            <w:tcW w:w="2403" w:type="dxa"/>
            <w:gridSpan w:val="2"/>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Layout w:type="fixed"/>
          <w:tblCellMar>
            <w:top w:w="0" w:type="dxa"/>
            <w:left w:w="108" w:type="dxa"/>
            <w:bottom w:w="0" w:type="dxa"/>
            <w:right w:w="108" w:type="dxa"/>
          </w:tblCellMar>
        </w:tblPrEx>
        <w:trPr>
          <w:trHeight w:val="419" w:hRule="atLeast"/>
          <w:jc w:val="center"/>
        </w:trPr>
        <w:tc>
          <w:tcPr>
            <w:tcW w:w="2376" w:type="dxa"/>
            <w:gridSpan w:val="4"/>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工伤认定编号</w:t>
            </w:r>
          </w:p>
        </w:tc>
        <w:tc>
          <w:tcPr>
            <w:tcW w:w="2269" w:type="dxa"/>
            <w:gridSpan w:val="7"/>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786" w:type="dxa"/>
            <w:gridSpan w:val="4"/>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工伤职工类别</w:t>
            </w:r>
          </w:p>
        </w:tc>
        <w:tc>
          <w:tcPr>
            <w:tcW w:w="2403" w:type="dxa"/>
            <w:gridSpan w:val="2"/>
            <w:tcBorders>
              <w:top w:val="single" w:color="auto" w:sz="4" w:space="0"/>
              <w:left w:val="nil"/>
              <w:bottom w:val="single" w:color="auto" w:sz="4" w:space="0"/>
              <w:right w:val="single" w:color="auto" w:sz="4" w:space="0"/>
            </w:tcBorders>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Layout w:type="fixed"/>
          <w:tblCellMar>
            <w:top w:w="0" w:type="dxa"/>
            <w:left w:w="108" w:type="dxa"/>
            <w:bottom w:w="0" w:type="dxa"/>
            <w:right w:w="108" w:type="dxa"/>
          </w:tblCellMar>
        </w:tblPrEx>
        <w:trPr>
          <w:trHeight w:val="419" w:hRule="atLeast"/>
          <w:jc w:val="center"/>
        </w:trPr>
        <w:tc>
          <w:tcPr>
            <w:tcW w:w="2376" w:type="dxa"/>
            <w:gridSpan w:val="4"/>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kern w:val="0"/>
                <w:sz w:val="24"/>
                <w:szCs w:val="24"/>
                <w:lang w:bidi="ar"/>
              </w:rPr>
              <w:t>伤害部位及伤残等级</w:t>
            </w:r>
          </w:p>
        </w:tc>
        <w:tc>
          <w:tcPr>
            <w:tcW w:w="6458" w:type="dxa"/>
            <w:gridSpan w:val="13"/>
            <w:tcBorders>
              <w:top w:val="single" w:color="auto" w:sz="4" w:space="0"/>
              <w:left w:val="nil"/>
              <w:bottom w:val="single" w:color="000000" w:sz="4" w:space="0"/>
              <w:right w:val="single" w:color="auto" w:sz="4" w:space="0"/>
            </w:tcBorders>
            <w:vAlign w:val="center"/>
          </w:tcPr>
          <w:p>
            <w:pPr>
              <w:widowControl/>
              <w:spacing w:line="320" w:lineRule="exact"/>
              <w:jc w:val="left"/>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419" w:hRule="atLeast"/>
          <w:jc w:val="center"/>
        </w:trPr>
        <w:tc>
          <w:tcPr>
            <w:tcW w:w="2376" w:type="dxa"/>
            <w:gridSpan w:val="4"/>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rPr>
                <w:rFonts w:ascii="仿宋_GB2312" w:hAnsi="宋体" w:eastAsia="仿宋_GB2312"/>
                <w:kern w:val="0"/>
                <w:sz w:val="24"/>
                <w:szCs w:val="24"/>
                <w:lang w:bidi="ar"/>
              </w:rPr>
            </w:pPr>
            <w:r>
              <w:rPr>
                <w:rFonts w:hint="eastAsia" w:ascii="仿宋_GB2312" w:hAnsi="宋体" w:eastAsia="仿宋_GB2312"/>
                <w:kern w:val="0"/>
                <w:sz w:val="24"/>
                <w:szCs w:val="24"/>
                <w:lang w:bidi="ar"/>
              </w:rPr>
              <w:t>家庭住址</w:t>
            </w:r>
          </w:p>
        </w:tc>
        <w:tc>
          <w:tcPr>
            <w:tcW w:w="6458" w:type="dxa"/>
            <w:gridSpan w:val="13"/>
            <w:tcBorders>
              <w:top w:val="single" w:color="auto" w:sz="4" w:space="0"/>
              <w:left w:val="nil"/>
              <w:bottom w:val="single" w:color="000000" w:sz="4" w:space="0"/>
              <w:right w:val="single" w:color="auto" w:sz="4" w:space="0"/>
            </w:tcBorders>
            <w:vAlign w:val="center"/>
          </w:tcPr>
          <w:p>
            <w:pPr>
              <w:widowControl/>
              <w:spacing w:line="320" w:lineRule="exact"/>
              <w:jc w:val="left"/>
              <w:rPr>
                <w:rFonts w:ascii="仿宋_GB2312" w:hAnsi="宋体" w:eastAsia="仿宋_GB2312" w:cs="宋体"/>
                <w:kern w:val="0"/>
                <w:sz w:val="24"/>
                <w:szCs w:val="24"/>
              </w:rPr>
            </w:pPr>
          </w:p>
        </w:tc>
      </w:tr>
      <w:tr>
        <w:tblPrEx>
          <w:tblLayout w:type="fixed"/>
          <w:tblCellMar>
            <w:top w:w="15" w:type="dxa"/>
            <w:left w:w="15" w:type="dxa"/>
            <w:bottom w:w="15" w:type="dxa"/>
            <w:right w:w="15" w:type="dxa"/>
          </w:tblCellMar>
        </w:tblPrEx>
        <w:trPr>
          <w:trHeight w:val="560" w:hRule="atLeast"/>
          <w:jc w:val="center"/>
        </w:trPr>
        <w:tc>
          <w:tcPr>
            <w:tcW w:w="8834" w:type="dxa"/>
            <w:gridSpan w:val="17"/>
            <w:vMerge w:val="restart"/>
            <w:tcBorders>
              <w:top w:val="single" w:color="000000" w:sz="4" w:space="0"/>
              <w:left w:val="single" w:color="000000" w:sz="4" w:space="0"/>
              <w:right w:val="single" w:color="000000" w:sz="4" w:space="0"/>
            </w:tcBorders>
          </w:tcPr>
          <w:p>
            <w:pPr>
              <w:widowControl/>
              <w:spacing w:line="320" w:lineRule="exact"/>
              <w:jc w:val="left"/>
              <w:textAlignment w:val="top"/>
              <w:rPr>
                <w:rFonts w:ascii="仿宋_GB2312" w:hAnsi="宋体" w:eastAsia="仿宋_GB2312"/>
                <w:color w:val="000000"/>
                <w:kern w:val="0"/>
                <w:sz w:val="24"/>
                <w:szCs w:val="24"/>
                <w:lang w:bidi="ar"/>
              </w:rPr>
            </w:pPr>
            <w:r>
              <w:rPr>
                <w:rFonts w:hint="eastAsia" w:ascii="仿宋_GB2312" w:hAnsi="宋体" w:eastAsia="仿宋_GB2312"/>
                <w:color w:val="000000"/>
                <w:kern w:val="0"/>
                <w:sz w:val="24"/>
                <w:szCs w:val="24"/>
                <w:lang w:bidi="ar"/>
              </w:rPr>
              <w:t>协议医疗机构意见（详细填写病史、诊断依据及治疗期限）</w:t>
            </w:r>
          </w:p>
          <w:p>
            <w:pPr>
              <w:widowControl/>
              <w:spacing w:line="320" w:lineRule="exact"/>
              <w:jc w:val="left"/>
              <w:textAlignment w:val="top"/>
              <w:rPr>
                <w:rFonts w:ascii="仿宋_GB2312" w:hAnsi="宋体" w:eastAsia="仿宋_GB2312"/>
                <w:color w:val="000000"/>
                <w:kern w:val="0"/>
                <w:sz w:val="24"/>
                <w:szCs w:val="24"/>
                <w:lang w:bidi="ar"/>
              </w:rPr>
            </w:pPr>
          </w:p>
          <w:p>
            <w:pPr>
              <w:widowControl/>
              <w:spacing w:line="320" w:lineRule="exact"/>
              <w:jc w:val="left"/>
              <w:textAlignment w:val="top"/>
              <w:rPr>
                <w:rFonts w:ascii="仿宋_GB2312" w:hAnsi="宋体" w:eastAsia="仿宋_GB2312"/>
                <w:color w:val="000000"/>
                <w:sz w:val="24"/>
                <w:szCs w:val="24"/>
              </w:rPr>
            </w:pPr>
          </w:p>
          <w:p>
            <w:pPr>
              <w:widowControl/>
              <w:spacing w:line="320" w:lineRule="exact"/>
              <w:jc w:val="left"/>
              <w:textAlignment w:val="top"/>
              <w:rPr>
                <w:rFonts w:ascii="仿宋_GB2312" w:hAnsi="宋体" w:eastAsia="仿宋_GB2312"/>
                <w:color w:val="000000"/>
                <w:sz w:val="24"/>
                <w:szCs w:val="24"/>
              </w:rPr>
            </w:pPr>
          </w:p>
        </w:tc>
      </w:tr>
      <w:tr>
        <w:tblPrEx>
          <w:tblLayout w:type="fixed"/>
          <w:tblCellMar>
            <w:top w:w="15" w:type="dxa"/>
            <w:left w:w="15" w:type="dxa"/>
            <w:bottom w:w="15" w:type="dxa"/>
            <w:right w:w="15" w:type="dxa"/>
          </w:tblCellMar>
        </w:tblPrEx>
        <w:trPr>
          <w:trHeight w:val="621" w:hRule="atLeast"/>
          <w:jc w:val="center"/>
        </w:trPr>
        <w:tc>
          <w:tcPr>
            <w:tcW w:w="8834" w:type="dxa"/>
            <w:gridSpan w:val="17"/>
            <w:vMerge w:val="continue"/>
            <w:tcBorders>
              <w:left w:val="single" w:color="000000" w:sz="4" w:space="0"/>
              <w:right w:val="single" w:color="000000" w:sz="4" w:space="0"/>
            </w:tcBorders>
          </w:tcPr>
          <w:p>
            <w:pPr>
              <w:spacing w:line="320" w:lineRule="exact"/>
              <w:rPr>
                <w:rFonts w:ascii="仿宋_GB2312" w:hAnsi="宋体" w:eastAsia="仿宋_GB2312"/>
                <w:color w:val="000000"/>
                <w:sz w:val="24"/>
                <w:szCs w:val="24"/>
              </w:rPr>
            </w:pPr>
          </w:p>
        </w:tc>
      </w:tr>
      <w:tr>
        <w:tblPrEx>
          <w:tblLayout w:type="fixed"/>
          <w:tblCellMar>
            <w:top w:w="15" w:type="dxa"/>
            <w:left w:w="15" w:type="dxa"/>
            <w:bottom w:w="15" w:type="dxa"/>
            <w:right w:w="15" w:type="dxa"/>
          </w:tblCellMar>
        </w:tblPrEx>
        <w:trPr>
          <w:trHeight w:val="366" w:hRule="atLeast"/>
          <w:jc w:val="center"/>
        </w:trPr>
        <w:tc>
          <w:tcPr>
            <w:tcW w:w="5172" w:type="dxa"/>
            <w:gridSpan w:val="12"/>
            <w:tcBorders>
              <w:left w:val="single" w:color="000000" w:sz="4" w:space="0"/>
              <w:bottom w:val="single" w:color="000000" w:sz="4" w:space="0"/>
            </w:tcBorders>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主治医师：            科主任：                                             </w:t>
            </w:r>
          </w:p>
        </w:tc>
        <w:tc>
          <w:tcPr>
            <w:tcW w:w="3662" w:type="dxa"/>
            <w:gridSpan w:val="5"/>
            <w:tcBorders>
              <w:bottom w:val="single" w:color="000000" w:sz="4" w:space="0"/>
              <w:right w:val="single" w:color="000000" w:sz="4" w:space="0"/>
            </w:tcBorders>
          </w:tcPr>
          <w:p>
            <w:pPr>
              <w:spacing w:line="320" w:lineRule="exact"/>
              <w:ind w:firstLine="1920" w:firstLineChars="800"/>
              <w:rPr>
                <w:rFonts w:ascii="仿宋_GB2312" w:hAnsi="宋体" w:eastAsia="仿宋_GB2312"/>
                <w:color w:val="000000"/>
                <w:sz w:val="24"/>
                <w:szCs w:val="24"/>
              </w:rPr>
            </w:pPr>
            <w:r>
              <w:rPr>
                <w:rFonts w:hint="eastAsia" w:ascii="仿宋_GB2312" w:hAnsi="宋体" w:eastAsia="仿宋_GB2312" w:cs="宋体"/>
                <w:kern w:val="0"/>
                <w:sz w:val="24"/>
                <w:szCs w:val="24"/>
              </w:rPr>
              <w:t>年</w:t>
            </w:r>
            <w:r>
              <w:rPr>
                <w:rFonts w:hint="eastAsia" w:ascii="仿宋_GB2312" w:hAnsi="宋体" w:eastAsia="仿宋_GB2312"/>
                <w:kern w:val="0"/>
                <w:sz w:val="24"/>
                <w:szCs w:val="24"/>
              </w:rPr>
              <w:t xml:space="preserve">    </w:t>
            </w:r>
            <w:r>
              <w:rPr>
                <w:rFonts w:hint="eastAsia" w:ascii="仿宋_GB2312" w:hAnsi="宋体" w:eastAsia="仿宋_GB2312" w:cs="宋体"/>
                <w:kern w:val="0"/>
                <w:sz w:val="24"/>
                <w:szCs w:val="24"/>
              </w:rPr>
              <w:t>月</w:t>
            </w:r>
            <w:r>
              <w:rPr>
                <w:rFonts w:hint="eastAsia" w:ascii="仿宋_GB2312" w:hAnsi="宋体" w:eastAsia="仿宋_GB2312"/>
                <w:kern w:val="0"/>
                <w:sz w:val="24"/>
                <w:szCs w:val="24"/>
              </w:rPr>
              <w:t xml:space="preserve">    </w:t>
            </w:r>
            <w:r>
              <w:rPr>
                <w:rFonts w:hint="eastAsia" w:ascii="仿宋_GB2312" w:hAnsi="宋体" w:eastAsia="仿宋_GB2312" w:cs="宋体"/>
                <w:kern w:val="0"/>
                <w:sz w:val="24"/>
                <w:szCs w:val="24"/>
              </w:rPr>
              <w:t>日</w:t>
            </w:r>
          </w:p>
        </w:tc>
      </w:tr>
      <w:tr>
        <w:tblPrEx>
          <w:tblLayout w:type="fixed"/>
          <w:tblCellMar>
            <w:top w:w="15" w:type="dxa"/>
            <w:left w:w="15" w:type="dxa"/>
            <w:bottom w:w="15" w:type="dxa"/>
            <w:right w:w="15" w:type="dxa"/>
          </w:tblCellMar>
        </w:tblPrEx>
        <w:trPr>
          <w:trHeight w:val="1226" w:hRule="atLeast"/>
          <w:jc w:val="center"/>
        </w:trPr>
        <w:tc>
          <w:tcPr>
            <w:tcW w:w="8834" w:type="dxa"/>
            <w:gridSpan w:val="17"/>
            <w:tcBorders>
              <w:top w:val="single" w:color="000000" w:sz="4" w:space="0"/>
              <w:left w:val="single" w:color="000000" w:sz="4" w:space="0"/>
              <w:bottom w:val="single" w:color="auto" w:sz="4" w:space="0"/>
              <w:right w:val="single" w:color="000000" w:sz="4" w:space="0"/>
            </w:tcBorders>
          </w:tcPr>
          <w:p>
            <w:pPr>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医院医保办审批意见（签章）：</w:t>
            </w:r>
          </w:p>
          <w:p>
            <w:pPr>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w:t>
            </w:r>
          </w:p>
          <w:p>
            <w:pPr>
              <w:spacing w:line="320" w:lineRule="exact"/>
              <w:rPr>
                <w:rFonts w:ascii="仿宋_GB2312" w:hAnsi="宋体" w:eastAsia="仿宋_GB2312" w:cs="宋体"/>
                <w:kern w:val="0"/>
                <w:sz w:val="24"/>
                <w:szCs w:val="24"/>
              </w:rPr>
            </w:pPr>
          </w:p>
          <w:p>
            <w:pPr>
              <w:spacing w:line="320" w:lineRule="exact"/>
              <w:rPr>
                <w:rFonts w:ascii="仿宋_GB2312" w:hAnsi="宋体" w:eastAsia="仿宋_GB2312"/>
                <w:color w:val="000000"/>
                <w:sz w:val="24"/>
                <w:szCs w:val="24"/>
              </w:rPr>
            </w:pPr>
            <w:r>
              <w:rPr>
                <w:rFonts w:hint="eastAsia" w:ascii="仿宋_GB2312" w:hAnsi="宋体" w:eastAsia="仿宋_GB2312" w:cs="宋体"/>
                <w:kern w:val="0"/>
                <w:sz w:val="24"/>
                <w:szCs w:val="24"/>
              </w:rPr>
              <w:t>经办人：</w:t>
            </w:r>
            <w:r>
              <w:rPr>
                <w:rFonts w:hint="eastAsia" w:ascii="仿宋_GB2312" w:hAnsi="宋体" w:eastAsia="仿宋_GB2312"/>
                <w:kern w:val="0"/>
                <w:sz w:val="24"/>
                <w:szCs w:val="24"/>
              </w:rPr>
              <w:t xml:space="preserve">                                                 </w:t>
            </w:r>
            <w:r>
              <w:rPr>
                <w:rFonts w:hint="eastAsia" w:ascii="仿宋_GB2312" w:hAnsi="宋体" w:eastAsia="仿宋_GB2312" w:cs="宋体"/>
                <w:kern w:val="0"/>
                <w:sz w:val="24"/>
                <w:szCs w:val="24"/>
              </w:rPr>
              <w:t>年</w:t>
            </w:r>
            <w:r>
              <w:rPr>
                <w:rFonts w:hint="eastAsia" w:ascii="仿宋_GB2312" w:hAnsi="宋体" w:eastAsia="仿宋_GB2312"/>
                <w:kern w:val="0"/>
                <w:sz w:val="24"/>
                <w:szCs w:val="24"/>
              </w:rPr>
              <w:t xml:space="preserve">    </w:t>
            </w:r>
            <w:r>
              <w:rPr>
                <w:rFonts w:hint="eastAsia" w:ascii="仿宋_GB2312" w:hAnsi="宋体" w:eastAsia="仿宋_GB2312" w:cs="宋体"/>
                <w:kern w:val="0"/>
                <w:sz w:val="24"/>
                <w:szCs w:val="24"/>
              </w:rPr>
              <w:t>月</w:t>
            </w:r>
            <w:r>
              <w:rPr>
                <w:rFonts w:hint="eastAsia" w:ascii="仿宋_GB2312" w:hAnsi="宋体" w:eastAsia="仿宋_GB2312"/>
                <w:kern w:val="0"/>
                <w:sz w:val="24"/>
                <w:szCs w:val="24"/>
              </w:rPr>
              <w:t xml:space="preserve">    </w:t>
            </w:r>
            <w:r>
              <w:rPr>
                <w:rFonts w:hint="eastAsia" w:ascii="仿宋_GB2312" w:hAnsi="宋体" w:eastAsia="仿宋_GB2312" w:cs="宋体"/>
                <w:kern w:val="0"/>
                <w:sz w:val="24"/>
                <w:szCs w:val="24"/>
              </w:rPr>
              <w:t>日</w:t>
            </w:r>
          </w:p>
        </w:tc>
      </w:tr>
      <w:tr>
        <w:tblPrEx>
          <w:tblLayout w:type="fixed"/>
          <w:tblCellMar>
            <w:top w:w="15" w:type="dxa"/>
            <w:left w:w="15" w:type="dxa"/>
            <w:bottom w:w="15" w:type="dxa"/>
            <w:right w:w="15" w:type="dxa"/>
          </w:tblCellMar>
        </w:tblPrEx>
        <w:trPr>
          <w:trHeight w:val="1298" w:hRule="atLeast"/>
          <w:jc w:val="center"/>
        </w:trPr>
        <w:tc>
          <w:tcPr>
            <w:tcW w:w="8834" w:type="dxa"/>
            <w:gridSpan w:val="17"/>
            <w:tcBorders>
              <w:top w:val="single" w:color="auto" w:sz="4" w:space="0"/>
              <w:left w:val="single" w:color="auto" w:sz="4" w:space="0"/>
              <w:bottom w:val="single" w:color="auto" w:sz="4" w:space="0"/>
              <w:right w:val="single" w:color="auto" w:sz="4" w:space="0"/>
            </w:tcBorders>
          </w:tcPr>
          <w:p>
            <w:pPr>
              <w:widowControl/>
              <w:spacing w:line="320" w:lineRule="exact"/>
              <w:jc w:val="left"/>
              <w:textAlignment w:val="top"/>
              <w:rPr>
                <w:rFonts w:ascii="仿宋_GB2312" w:hAnsi="宋体" w:eastAsia="仿宋_GB2312"/>
                <w:color w:val="000000"/>
                <w:kern w:val="0"/>
                <w:sz w:val="24"/>
                <w:szCs w:val="24"/>
                <w:lang w:bidi="ar"/>
              </w:rPr>
            </w:pPr>
            <w:r>
              <w:rPr>
                <w:rFonts w:hint="eastAsia" w:ascii="仿宋_GB2312" w:hAnsi="宋体" w:eastAsia="仿宋_GB2312"/>
                <w:color w:val="000000"/>
                <w:kern w:val="0"/>
                <w:sz w:val="24"/>
                <w:szCs w:val="24"/>
                <w:lang w:bidi="ar"/>
              </w:rPr>
              <w:t>本人承诺：情况属实。</w:t>
            </w:r>
          </w:p>
          <w:p>
            <w:pPr>
              <w:widowControl/>
              <w:spacing w:line="320" w:lineRule="exact"/>
              <w:jc w:val="left"/>
              <w:textAlignment w:val="top"/>
              <w:rPr>
                <w:rFonts w:ascii="仿宋_GB2312" w:hAnsi="宋体" w:eastAsia="仿宋_GB2312"/>
                <w:color w:val="000000"/>
                <w:sz w:val="24"/>
                <w:szCs w:val="24"/>
              </w:rPr>
            </w:pPr>
            <w:r>
              <w:rPr>
                <w:rFonts w:hint="eastAsia" w:ascii="仿宋_GB2312" w:hAnsi="宋体" w:eastAsia="仿宋_GB2312"/>
                <w:color w:val="000000"/>
                <w:kern w:val="0"/>
                <w:sz w:val="24"/>
                <w:szCs w:val="24"/>
                <w:lang w:bidi="ar"/>
              </w:rPr>
              <w:t xml:space="preserve">                                                                                                                                                                                                                                             </w:t>
            </w:r>
          </w:p>
          <w:p>
            <w:pPr>
              <w:widowControl/>
              <w:spacing w:line="320" w:lineRule="exact"/>
              <w:jc w:val="left"/>
              <w:textAlignment w:val="top"/>
              <w:rPr>
                <w:rFonts w:ascii="仿宋_GB2312" w:hAnsi="宋体" w:eastAsia="仿宋_GB2312"/>
                <w:color w:val="000000"/>
                <w:sz w:val="24"/>
                <w:szCs w:val="24"/>
              </w:rPr>
            </w:pPr>
            <w:r>
              <w:rPr>
                <w:rFonts w:hint="eastAsia" w:ascii="仿宋_GB2312" w:hAnsi="宋体" w:eastAsia="仿宋_GB2312"/>
                <w:color w:val="000000"/>
                <w:kern w:val="0"/>
                <w:sz w:val="24"/>
                <w:szCs w:val="24"/>
                <w:lang w:bidi="ar"/>
              </w:rPr>
              <w:t xml:space="preserve">                                                                                                                                                                                                                                                                                                                                                                          签名：                                                   年    月    日        </w:t>
            </w:r>
          </w:p>
        </w:tc>
      </w:tr>
      <w:tr>
        <w:tblPrEx>
          <w:tblLayout w:type="fixed"/>
          <w:tblCellMar>
            <w:top w:w="15" w:type="dxa"/>
            <w:left w:w="15" w:type="dxa"/>
            <w:bottom w:w="15" w:type="dxa"/>
            <w:right w:w="15" w:type="dxa"/>
          </w:tblCellMar>
        </w:tblPrEx>
        <w:trPr>
          <w:trHeight w:val="1112" w:hRule="atLeast"/>
          <w:jc w:val="center"/>
        </w:trPr>
        <w:tc>
          <w:tcPr>
            <w:tcW w:w="8834" w:type="dxa"/>
            <w:gridSpan w:val="17"/>
            <w:tcBorders>
              <w:top w:val="single" w:color="auto" w:sz="4" w:space="0"/>
              <w:left w:val="single" w:color="000000" w:sz="4" w:space="0"/>
              <w:right w:val="single" w:color="000000" w:sz="4" w:space="0"/>
            </w:tcBorders>
          </w:tcPr>
          <w:p>
            <w:pPr>
              <w:widowControl/>
              <w:spacing w:line="320" w:lineRule="exact"/>
              <w:jc w:val="left"/>
              <w:textAlignment w:val="top"/>
              <w:rPr>
                <w:rFonts w:ascii="仿宋_GB2312" w:hAnsi="宋体" w:eastAsia="仿宋_GB2312"/>
                <w:color w:val="000000"/>
                <w:kern w:val="0"/>
                <w:sz w:val="24"/>
                <w:szCs w:val="24"/>
                <w:lang w:bidi="ar"/>
              </w:rPr>
            </w:pPr>
            <w:r>
              <w:rPr>
                <w:rFonts w:hint="eastAsia" w:ascii="仿宋_GB2312" w:hAnsi="宋体" w:eastAsia="仿宋_GB2312"/>
                <w:color w:val="000000"/>
                <w:kern w:val="0"/>
                <w:sz w:val="24"/>
                <w:szCs w:val="24"/>
                <w:lang w:bidi="ar"/>
              </w:rPr>
              <w:t>劳动能力鉴定机构意见（签章）：</w:t>
            </w:r>
          </w:p>
          <w:p>
            <w:pPr>
              <w:widowControl/>
              <w:spacing w:line="320" w:lineRule="exact"/>
              <w:jc w:val="left"/>
              <w:textAlignment w:val="top"/>
              <w:rPr>
                <w:rFonts w:ascii="仿宋_GB2312" w:hAnsi="宋体" w:eastAsia="仿宋_GB2312"/>
                <w:color w:val="000000"/>
                <w:kern w:val="0"/>
                <w:sz w:val="24"/>
                <w:szCs w:val="24"/>
                <w:lang w:bidi="ar"/>
              </w:rPr>
            </w:pPr>
          </w:p>
          <w:p>
            <w:pPr>
              <w:widowControl/>
              <w:spacing w:line="320" w:lineRule="exact"/>
              <w:jc w:val="left"/>
              <w:textAlignment w:val="top"/>
              <w:rPr>
                <w:rFonts w:ascii="仿宋_GB2312" w:hAnsi="宋体" w:eastAsia="仿宋_GB2312"/>
                <w:color w:val="000000"/>
                <w:kern w:val="0"/>
                <w:sz w:val="24"/>
                <w:szCs w:val="24"/>
                <w:lang w:bidi="ar"/>
              </w:rPr>
            </w:pPr>
          </w:p>
          <w:p>
            <w:pPr>
              <w:widowControl/>
              <w:spacing w:line="320" w:lineRule="exact"/>
              <w:jc w:val="left"/>
              <w:textAlignment w:val="top"/>
              <w:rPr>
                <w:rFonts w:ascii="仿宋_GB2312" w:hAnsi="宋体" w:eastAsia="仿宋_GB2312"/>
                <w:color w:val="000000"/>
                <w:kern w:val="0"/>
                <w:sz w:val="24"/>
                <w:szCs w:val="24"/>
                <w:lang w:bidi="ar"/>
              </w:rPr>
            </w:pPr>
            <w:r>
              <w:rPr>
                <w:rFonts w:hint="eastAsia" w:ascii="仿宋_GB2312" w:hAnsi="宋体" w:eastAsia="仿宋_GB2312"/>
                <w:color w:val="000000"/>
                <w:kern w:val="0"/>
                <w:sz w:val="24"/>
                <w:szCs w:val="24"/>
                <w:lang w:bidi="ar"/>
              </w:rPr>
              <w:t>经办人：                                                 年    月    日</w:t>
            </w:r>
          </w:p>
        </w:tc>
      </w:tr>
      <w:tr>
        <w:tblPrEx>
          <w:tblLayout w:type="fixed"/>
          <w:tblCellMar>
            <w:top w:w="15" w:type="dxa"/>
            <w:left w:w="15" w:type="dxa"/>
            <w:bottom w:w="15" w:type="dxa"/>
            <w:right w:w="15" w:type="dxa"/>
          </w:tblCellMar>
        </w:tblPrEx>
        <w:trPr>
          <w:trHeight w:val="62" w:hRule="atLeast"/>
          <w:jc w:val="center"/>
        </w:trPr>
        <w:tc>
          <w:tcPr>
            <w:tcW w:w="8834" w:type="dxa"/>
            <w:gridSpan w:val="17"/>
            <w:tcBorders>
              <w:top w:val="single" w:color="000000" w:sz="4" w:space="0"/>
              <w:left w:val="single" w:color="000000" w:sz="4" w:space="0"/>
              <w:right w:val="single" w:color="000000" w:sz="4" w:space="0"/>
            </w:tcBorders>
          </w:tcPr>
          <w:p>
            <w:pPr>
              <w:widowControl/>
              <w:spacing w:line="320" w:lineRule="exact"/>
              <w:jc w:val="left"/>
              <w:textAlignment w:val="top"/>
              <w:rPr>
                <w:rFonts w:ascii="仿宋_GB2312" w:hAnsi="宋体" w:eastAsia="仿宋_GB2312"/>
                <w:color w:val="000000"/>
                <w:kern w:val="0"/>
                <w:sz w:val="24"/>
                <w:szCs w:val="24"/>
                <w:lang w:bidi="ar"/>
              </w:rPr>
            </w:pPr>
            <w:r>
              <w:rPr>
                <w:rFonts w:hint="eastAsia" w:ascii="仿宋_GB2312" w:hAnsi="宋体" w:eastAsia="仿宋_GB2312"/>
                <w:color w:val="000000"/>
                <w:kern w:val="0"/>
                <w:sz w:val="24"/>
                <w:szCs w:val="24"/>
                <w:lang w:bidi="ar"/>
              </w:rPr>
              <w:t>社保经办机构意见（签章）：</w:t>
            </w:r>
          </w:p>
          <w:p>
            <w:pPr>
              <w:widowControl/>
              <w:spacing w:line="320" w:lineRule="exact"/>
              <w:jc w:val="left"/>
              <w:textAlignment w:val="top"/>
              <w:rPr>
                <w:rFonts w:ascii="仿宋_GB2312" w:hAnsi="宋体" w:eastAsia="仿宋_GB2312"/>
                <w:color w:val="000000"/>
                <w:kern w:val="0"/>
                <w:sz w:val="24"/>
                <w:szCs w:val="24"/>
                <w:lang w:bidi="ar"/>
              </w:rPr>
            </w:pPr>
          </w:p>
          <w:p>
            <w:pPr>
              <w:widowControl/>
              <w:spacing w:line="320" w:lineRule="exact"/>
              <w:jc w:val="left"/>
              <w:textAlignment w:val="top"/>
              <w:rPr>
                <w:rFonts w:ascii="仿宋_GB2312" w:hAnsi="宋体" w:eastAsia="仿宋_GB2312"/>
                <w:color w:val="000000"/>
                <w:kern w:val="0"/>
                <w:sz w:val="24"/>
                <w:szCs w:val="24"/>
                <w:lang w:bidi="ar"/>
              </w:rPr>
            </w:pPr>
          </w:p>
          <w:p>
            <w:pPr>
              <w:widowControl/>
              <w:spacing w:line="320" w:lineRule="exact"/>
              <w:jc w:val="left"/>
              <w:textAlignment w:val="top"/>
              <w:rPr>
                <w:rFonts w:ascii="仿宋_GB2312" w:hAnsi="宋体" w:eastAsia="仿宋_GB2312"/>
                <w:color w:val="000000"/>
                <w:kern w:val="0"/>
                <w:sz w:val="24"/>
                <w:szCs w:val="24"/>
                <w:lang w:bidi="ar"/>
              </w:rPr>
            </w:pPr>
            <w:r>
              <w:rPr>
                <w:rFonts w:hint="eastAsia" w:ascii="仿宋_GB2312" w:hAnsi="宋体" w:eastAsia="仿宋_GB2312"/>
                <w:color w:val="000000"/>
                <w:kern w:val="0"/>
                <w:sz w:val="24"/>
                <w:szCs w:val="24"/>
                <w:lang w:bidi="ar"/>
              </w:rPr>
              <w:t>经办人：                                                 年    月    日</w:t>
            </w:r>
          </w:p>
        </w:tc>
      </w:tr>
      <w:tr>
        <w:tblPrEx>
          <w:tblLayout w:type="fixed"/>
          <w:tblCellMar>
            <w:top w:w="15" w:type="dxa"/>
            <w:left w:w="15" w:type="dxa"/>
            <w:bottom w:w="15" w:type="dxa"/>
            <w:right w:w="15" w:type="dxa"/>
          </w:tblCellMar>
        </w:tblPrEx>
        <w:trPr>
          <w:trHeight w:val="545" w:hRule="atLeast"/>
          <w:jc w:val="center"/>
        </w:trPr>
        <w:tc>
          <w:tcPr>
            <w:tcW w:w="8834" w:type="dxa"/>
            <w:gridSpan w:val="17"/>
            <w:tcBorders>
              <w:top w:val="single" w:color="000000" w:sz="4" w:space="0"/>
            </w:tcBorders>
          </w:tcPr>
          <w:p>
            <w:pPr>
              <w:widowControl/>
              <w:spacing w:line="320" w:lineRule="exact"/>
              <w:rPr>
                <w:rFonts w:ascii="仿宋_GB2312" w:hAnsi="宋体" w:eastAsia="仿宋_GB2312"/>
                <w:color w:val="000000"/>
                <w:sz w:val="24"/>
                <w:szCs w:val="24"/>
              </w:rPr>
            </w:pPr>
            <w:r>
              <w:rPr>
                <w:rFonts w:hint="eastAsia" w:ascii="仿宋_GB2312" w:hAnsi="宋体" w:eastAsia="仿宋_GB2312"/>
                <w:color w:val="000000"/>
                <w:kern w:val="0"/>
                <w:sz w:val="24"/>
                <w:szCs w:val="24"/>
                <w:lang w:bidi="ar"/>
              </w:rPr>
              <w:t>备注：1.工伤职工类别填写在职、退休或老工伤。2.本表由医疗机构录入工伤保险即时结算系统，书面表格留存备查。3.工伤复发有异议的需经劳动能力鉴定机构确认时，相关部门在劳动能力鉴定机构意见栏和经办机构意见栏填写意见。</w:t>
            </w:r>
          </w:p>
        </w:tc>
      </w:tr>
      <w:tr>
        <w:tblPrEx>
          <w:tblLayout w:type="fixed"/>
          <w:tblCellMar>
            <w:top w:w="15" w:type="dxa"/>
            <w:left w:w="15" w:type="dxa"/>
            <w:bottom w:w="15" w:type="dxa"/>
            <w:right w:w="15" w:type="dxa"/>
          </w:tblCellMar>
        </w:tblPrEx>
        <w:trPr>
          <w:trHeight w:val="545" w:hRule="atLeast"/>
          <w:jc w:val="center"/>
        </w:trPr>
        <w:tc>
          <w:tcPr>
            <w:tcW w:w="8834" w:type="dxa"/>
            <w:gridSpan w:val="17"/>
            <w:shd w:val="clear" w:color="auto" w:fill="auto"/>
          </w:tcPr>
          <w:p>
            <w:pPr>
              <w:spacing w:line="560" w:lineRule="exact"/>
              <w:rPr>
                <w:rFonts w:ascii="黑体" w:hAnsi="黑体" w:eastAsia="黑体"/>
                <w:sz w:val="32"/>
                <w:szCs w:val="32"/>
              </w:rPr>
            </w:pPr>
            <w:r>
              <w:rPr>
                <w:rFonts w:ascii="黑体" w:hAnsi="黑体" w:eastAsia="黑体"/>
                <w:sz w:val="32"/>
                <w:szCs w:val="32"/>
              </w:rPr>
              <w:t>附件2</w:t>
            </w:r>
          </w:p>
          <w:p>
            <w:pPr>
              <w:widowControl/>
              <w:spacing w:line="560" w:lineRule="exact"/>
              <w:rPr>
                <w:rFonts w:ascii="仿宋_GB2312" w:hAnsi="宋体" w:eastAsia="仿宋_GB2312"/>
                <w:color w:val="000000"/>
                <w:kern w:val="0"/>
                <w:sz w:val="24"/>
                <w:szCs w:val="24"/>
                <w:lang w:bidi="ar"/>
              </w:rPr>
            </w:pPr>
            <w:r>
              <w:rPr>
                <w:rFonts w:ascii="Times New Roman" w:hAnsi="Times New Roman" w:eastAsia="方正小标宋简体"/>
                <w:kern w:val="0"/>
                <w:sz w:val="44"/>
                <w:szCs w:val="44"/>
              </w:rPr>
              <w:t>宁夏回族自治区工伤职工工伤康复申请确认表</w:t>
            </w:r>
            <w:r>
              <w:rPr>
                <w:rFonts w:hint="eastAsia" w:ascii="仿宋_GB2312" w:hAnsi="宋体" w:eastAsia="仿宋_GB2312"/>
                <w:color w:val="000000"/>
                <w:kern w:val="0"/>
                <w:sz w:val="24"/>
                <w:szCs w:val="24"/>
                <w:lang w:bidi="ar"/>
              </w:rPr>
              <w:br w:type="textWrapping"/>
            </w:r>
            <w:r>
              <w:rPr>
                <w:rFonts w:ascii="仿宋_GB2312" w:hAnsi="宋体" w:eastAsia="仿宋_GB2312"/>
                <w:color w:val="000000"/>
                <w:kern w:val="0"/>
                <w:sz w:val="24"/>
                <w:szCs w:val="24"/>
                <w:lang w:bidi="ar"/>
              </w:rPr>
              <w:t>申请人(单位或机构)名称：</w:t>
            </w:r>
          </w:p>
        </w:tc>
      </w:tr>
      <w:tr>
        <w:tblPrEx>
          <w:tblLayout w:type="fixed"/>
          <w:tblCellMar>
            <w:top w:w="0" w:type="dxa"/>
            <w:left w:w="108" w:type="dxa"/>
            <w:bottom w:w="0" w:type="dxa"/>
            <w:right w:w="108" w:type="dxa"/>
          </w:tblCellMar>
        </w:tblPrEx>
        <w:trPr>
          <w:trHeight w:val="930" w:hRule="atLeast"/>
          <w:jc w:val="center"/>
        </w:trPr>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申请康复</w:t>
            </w:r>
          </w:p>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对象姓名</w:t>
            </w:r>
          </w:p>
        </w:tc>
        <w:tc>
          <w:tcPr>
            <w:tcW w:w="1836" w:type="dxa"/>
            <w:gridSpan w:val="5"/>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仿宋_GB2312" w:hAnsi="宋体" w:eastAsia="仿宋_GB2312" w:cs="Arial"/>
                <w:color w:val="000000"/>
                <w:kern w:val="0"/>
                <w:sz w:val="24"/>
                <w:szCs w:val="24"/>
              </w:rPr>
            </w:pPr>
          </w:p>
        </w:tc>
        <w:tc>
          <w:tcPr>
            <w:tcW w:w="8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性别</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仿宋_GB2312" w:hAnsi="宋体" w:eastAsia="仿宋_GB2312" w:cs="Arial"/>
                <w:color w:val="000000"/>
                <w:kern w:val="0"/>
                <w:sz w:val="24"/>
                <w:szCs w:val="24"/>
              </w:rPr>
            </w:pP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出生年月</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Arial"/>
                <w:color w:val="000000"/>
                <w:kern w:val="0"/>
                <w:sz w:val="24"/>
                <w:szCs w:val="24"/>
              </w:rPr>
            </w:pPr>
          </w:p>
        </w:tc>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widowControl/>
              <w:ind w:left="113"/>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照 片</w:t>
            </w:r>
          </w:p>
        </w:tc>
      </w:tr>
      <w:tr>
        <w:tblPrEx>
          <w:tblLayout w:type="fixed"/>
          <w:tblCellMar>
            <w:top w:w="0" w:type="dxa"/>
            <w:left w:w="108" w:type="dxa"/>
            <w:bottom w:w="0" w:type="dxa"/>
            <w:right w:w="108" w:type="dxa"/>
          </w:tblCellMar>
        </w:tblPrEx>
        <w:trPr>
          <w:trHeight w:val="410" w:hRule="atLeast"/>
          <w:jc w:val="center"/>
        </w:trPr>
        <w:tc>
          <w:tcPr>
            <w:tcW w:w="18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身份证号</w:t>
            </w:r>
          </w:p>
        </w:tc>
        <w:tc>
          <w:tcPr>
            <w:tcW w:w="5245" w:type="dxa"/>
            <w:gridSpan w:val="13"/>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仿宋_GB2312" w:hAnsi="宋体" w:eastAsia="仿宋_GB2312" w:cs="Arial"/>
                <w:color w:val="000000"/>
                <w:kern w:val="0"/>
                <w:sz w:val="24"/>
                <w:szCs w:val="24"/>
              </w:rPr>
            </w:pPr>
          </w:p>
        </w:tc>
        <w:tc>
          <w:tcPr>
            <w:tcW w:w="17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Arial"/>
                <w:color w:val="000000"/>
                <w:kern w:val="0"/>
                <w:sz w:val="24"/>
                <w:szCs w:val="24"/>
              </w:rPr>
            </w:pPr>
          </w:p>
        </w:tc>
      </w:tr>
      <w:tr>
        <w:tblPrEx>
          <w:tblLayout w:type="fixed"/>
          <w:tblCellMar>
            <w:top w:w="0" w:type="dxa"/>
            <w:left w:w="108" w:type="dxa"/>
            <w:bottom w:w="0" w:type="dxa"/>
            <w:right w:w="108" w:type="dxa"/>
          </w:tblCellMar>
        </w:tblPrEx>
        <w:trPr>
          <w:trHeight w:val="410" w:hRule="atLeast"/>
          <w:jc w:val="center"/>
        </w:trPr>
        <w:tc>
          <w:tcPr>
            <w:tcW w:w="18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家庭详细地址</w:t>
            </w:r>
          </w:p>
        </w:tc>
        <w:tc>
          <w:tcPr>
            <w:tcW w:w="5245" w:type="dxa"/>
            <w:gridSpan w:val="13"/>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仿宋_GB2312" w:hAnsi="宋体" w:eastAsia="仿宋_GB2312" w:cs="Arial"/>
                <w:color w:val="000000"/>
                <w:kern w:val="0"/>
                <w:sz w:val="24"/>
                <w:szCs w:val="24"/>
              </w:rPr>
            </w:pPr>
          </w:p>
        </w:tc>
        <w:tc>
          <w:tcPr>
            <w:tcW w:w="17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Arial"/>
                <w:color w:val="000000"/>
                <w:kern w:val="0"/>
                <w:sz w:val="24"/>
                <w:szCs w:val="24"/>
              </w:rPr>
            </w:pPr>
          </w:p>
        </w:tc>
      </w:tr>
      <w:tr>
        <w:tblPrEx>
          <w:tblLayout w:type="fixed"/>
          <w:tblCellMar>
            <w:top w:w="0" w:type="dxa"/>
            <w:left w:w="108" w:type="dxa"/>
            <w:bottom w:w="0" w:type="dxa"/>
            <w:right w:w="108" w:type="dxa"/>
          </w:tblCellMar>
        </w:tblPrEx>
        <w:trPr>
          <w:trHeight w:val="560" w:hRule="atLeast"/>
          <w:jc w:val="center"/>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工作单位</w:t>
            </w:r>
          </w:p>
        </w:tc>
        <w:tc>
          <w:tcPr>
            <w:tcW w:w="3634" w:type="dxa"/>
            <w:gridSpan w:val="11"/>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仿宋_GB2312" w:hAnsi="宋体" w:eastAsia="仿宋_GB2312" w:cs="Arial"/>
                <w:color w:val="000000"/>
                <w:kern w:val="0"/>
                <w:sz w:val="24"/>
                <w:szCs w:val="24"/>
              </w:rPr>
            </w:pP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从事职业</w:t>
            </w:r>
          </w:p>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及工作岗位</w:t>
            </w:r>
          </w:p>
        </w:tc>
        <w:tc>
          <w:tcPr>
            <w:tcW w:w="175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仿宋_GB2312" w:hAnsi="宋体" w:eastAsia="仿宋_GB2312" w:cs="Arial"/>
                <w:color w:val="000000"/>
                <w:kern w:val="0"/>
                <w:sz w:val="24"/>
                <w:szCs w:val="24"/>
              </w:rPr>
            </w:pPr>
          </w:p>
        </w:tc>
      </w:tr>
      <w:tr>
        <w:tblPrEx>
          <w:tblLayout w:type="fixed"/>
          <w:tblCellMar>
            <w:top w:w="0" w:type="dxa"/>
            <w:left w:w="108" w:type="dxa"/>
            <w:bottom w:w="0" w:type="dxa"/>
            <w:right w:w="108" w:type="dxa"/>
          </w:tblCellMar>
        </w:tblPrEx>
        <w:trPr>
          <w:trHeight w:val="550" w:hRule="atLeast"/>
          <w:jc w:val="center"/>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联系人</w:t>
            </w:r>
          </w:p>
        </w:tc>
        <w:tc>
          <w:tcPr>
            <w:tcW w:w="111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仿宋_GB2312" w:hAnsi="宋体" w:eastAsia="仿宋_GB2312" w:cs="Arial"/>
                <w:color w:val="000000"/>
                <w:kern w:val="0"/>
                <w:sz w:val="24"/>
                <w:szCs w:val="24"/>
              </w:rPr>
            </w:pPr>
          </w:p>
        </w:tc>
        <w:tc>
          <w:tcPr>
            <w:tcW w:w="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联系电话</w:t>
            </w:r>
          </w:p>
        </w:tc>
        <w:tc>
          <w:tcPr>
            <w:tcW w:w="1554" w:type="dxa"/>
            <w:gridSpan w:val="5"/>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仿宋_GB2312" w:hAnsi="宋体" w:eastAsia="仿宋_GB2312" w:cs="Arial"/>
                <w:color w:val="000000"/>
                <w:kern w:val="0"/>
                <w:sz w:val="24"/>
                <w:szCs w:val="24"/>
              </w:rPr>
            </w:pP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参加工作</w:t>
            </w:r>
          </w:p>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时    间</w:t>
            </w:r>
          </w:p>
        </w:tc>
        <w:tc>
          <w:tcPr>
            <w:tcW w:w="175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仿宋_GB2312" w:hAnsi="宋体" w:eastAsia="仿宋_GB2312" w:cs="Arial"/>
                <w:color w:val="000000"/>
                <w:kern w:val="0"/>
                <w:sz w:val="24"/>
                <w:szCs w:val="24"/>
              </w:rPr>
            </w:pPr>
          </w:p>
        </w:tc>
      </w:tr>
      <w:tr>
        <w:tblPrEx>
          <w:tblLayout w:type="fixed"/>
          <w:tblCellMar>
            <w:top w:w="0" w:type="dxa"/>
            <w:left w:w="108" w:type="dxa"/>
            <w:bottom w:w="0" w:type="dxa"/>
            <w:right w:w="108" w:type="dxa"/>
          </w:tblCellMar>
        </w:tblPrEx>
        <w:trPr>
          <w:trHeight w:val="560" w:hRule="atLeast"/>
          <w:jc w:val="center"/>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工伤认定</w:t>
            </w:r>
          </w:p>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情 况</w:t>
            </w:r>
          </w:p>
        </w:tc>
        <w:tc>
          <w:tcPr>
            <w:tcW w:w="1502" w:type="dxa"/>
            <w:gridSpan w:val="4"/>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仿宋_GB2312" w:hAnsi="宋体" w:eastAsia="仿宋_GB2312" w:cs="Arial"/>
                <w:color w:val="000000"/>
                <w:kern w:val="0"/>
                <w:sz w:val="24"/>
                <w:szCs w:val="24"/>
              </w:rPr>
            </w:pPr>
          </w:p>
        </w:tc>
        <w:tc>
          <w:tcPr>
            <w:tcW w:w="1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劳动能力</w:t>
            </w:r>
          </w:p>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鉴定情况</w:t>
            </w:r>
          </w:p>
        </w:tc>
        <w:tc>
          <w:tcPr>
            <w:tcW w:w="4189" w:type="dxa"/>
            <w:gridSpan w:val="6"/>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仿宋_GB2312" w:hAnsi="宋体" w:eastAsia="仿宋_GB2312" w:cs="Arial"/>
                <w:color w:val="000000"/>
                <w:kern w:val="0"/>
                <w:sz w:val="24"/>
                <w:szCs w:val="24"/>
              </w:rPr>
            </w:pPr>
          </w:p>
        </w:tc>
      </w:tr>
      <w:tr>
        <w:tblPrEx>
          <w:tblLayout w:type="fixed"/>
          <w:tblCellMar>
            <w:top w:w="0" w:type="dxa"/>
            <w:left w:w="108" w:type="dxa"/>
            <w:bottom w:w="0" w:type="dxa"/>
            <w:right w:w="108" w:type="dxa"/>
          </w:tblCellMar>
        </w:tblPrEx>
        <w:trPr>
          <w:trHeight w:val="820" w:hRule="atLeast"/>
          <w:jc w:val="center"/>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事故时间</w:t>
            </w:r>
          </w:p>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或诊断时间</w:t>
            </w:r>
          </w:p>
        </w:tc>
        <w:tc>
          <w:tcPr>
            <w:tcW w:w="1502" w:type="dxa"/>
            <w:gridSpan w:val="4"/>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仿宋_GB2312" w:hAnsi="宋体" w:eastAsia="仿宋_GB2312" w:cs="Arial"/>
                <w:color w:val="000000"/>
                <w:kern w:val="0"/>
                <w:sz w:val="24"/>
                <w:szCs w:val="24"/>
              </w:rPr>
            </w:pPr>
          </w:p>
        </w:tc>
        <w:tc>
          <w:tcPr>
            <w:tcW w:w="1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伤害部位或职业病名称</w:t>
            </w:r>
          </w:p>
        </w:tc>
        <w:tc>
          <w:tcPr>
            <w:tcW w:w="4189" w:type="dxa"/>
            <w:gridSpan w:val="6"/>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仿宋_GB2312" w:hAnsi="宋体" w:eastAsia="仿宋_GB2312" w:cs="Arial"/>
                <w:color w:val="000000"/>
                <w:kern w:val="0"/>
                <w:sz w:val="24"/>
                <w:szCs w:val="24"/>
              </w:rPr>
            </w:pPr>
          </w:p>
        </w:tc>
      </w:tr>
      <w:tr>
        <w:tblPrEx>
          <w:tblLayout w:type="fixed"/>
          <w:tblCellMar>
            <w:top w:w="0" w:type="dxa"/>
            <w:left w:w="108" w:type="dxa"/>
            <w:bottom w:w="0" w:type="dxa"/>
            <w:right w:w="108" w:type="dxa"/>
          </w:tblCellMar>
        </w:tblPrEx>
        <w:trPr>
          <w:trHeight w:val="560" w:hRule="atLeast"/>
          <w:jc w:val="center"/>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申请康复</w:t>
            </w:r>
          </w:p>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对象确认</w:t>
            </w:r>
          </w:p>
        </w:tc>
        <w:tc>
          <w:tcPr>
            <w:tcW w:w="7229" w:type="dxa"/>
            <w:gridSpan w:val="1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签字：                                    年  月  日</w:t>
            </w:r>
          </w:p>
        </w:tc>
      </w:tr>
      <w:tr>
        <w:tblPrEx>
          <w:tblLayout w:type="fixed"/>
          <w:tblCellMar>
            <w:top w:w="0" w:type="dxa"/>
            <w:left w:w="108" w:type="dxa"/>
            <w:bottom w:w="0" w:type="dxa"/>
            <w:right w:w="108" w:type="dxa"/>
          </w:tblCellMar>
        </w:tblPrEx>
        <w:trPr>
          <w:trHeight w:val="820" w:hRule="atLeast"/>
          <w:jc w:val="center"/>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用人单位</w:t>
            </w:r>
          </w:p>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意 见</w:t>
            </w:r>
          </w:p>
        </w:tc>
        <w:tc>
          <w:tcPr>
            <w:tcW w:w="7229" w:type="dxa"/>
            <w:gridSpan w:val="1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(盖章)                                   年 月 日</w:t>
            </w:r>
          </w:p>
        </w:tc>
      </w:tr>
      <w:tr>
        <w:tblPrEx>
          <w:tblLayout w:type="fixed"/>
          <w:tblCellMar>
            <w:top w:w="0" w:type="dxa"/>
            <w:left w:w="108" w:type="dxa"/>
            <w:bottom w:w="0" w:type="dxa"/>
            <w:right w:w="108" w:type="dxa"/>
          </w:tblCellMar>
        </w:tblPrEx>
        <w:trPr>
          <w:trHeight w:val="960" w:hRule="atLeast"/>
          <w:jc w:val="center"/>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康复指征</w:t>
            </w:r>
          </w:p>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情 况</w:t>
            </w:r>
          </w:p>
        </w:tc>
        <w:tc>
          <w:tcPr>
            <w:tcW w:w="7229" w:type="dxa"/>
            <w:gridSpan w:val="1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工伤协议医疗机构(签章)                   年  月  日</w:t>
            </w:r>
          </w:p>
        </w:tc>
      </w:tr>
      <w:tr>
        <w:tblPrEx>
          <w:tblLayout w:type="fixed"/>
          <w:tblCellMar>
            <w:top w:w="0" w:type="dxa"/>
            <w:left w:w="108" w:type="dxa"/>
            <w:bottom w:w="0" w:type="dxa"/>
            <w:right w:w="108" w:type="dxa"/>
          </w:tblCellMar>
        </w:tblPrEx>
        <w:trPr>
          <w:trHeight w:val="1100" w:hRule="atLeast"/>
          <w:jc w:val="center"/>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工伤康复定点机构意见</w:t>
            </w:r>
          </w:p>
        </w:tc>
        <w:tc>
          <w:tcPr>
            <w:tcW w:w="7229" w:type="dxa"/>
            <w:gridSpan w:val="1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(盖章)                                   年 月 日</w:t>
            </w:r>
          </w:p>
        </w:tc>
      </w:tr>
      <w:tr>
        <w:tblPrEx>
          <w:tblLayout w:type="fixed"/>
          <w:tblCellMar>
            <w:top w:w="0" w:type="dxa"/>
            <w:left w:w="108" w:type="dxa"/>
            <w:bottom w:w="0" w:type="dxa"/>
            <w:right w:w="108" w:type="dxa"/>
          </w:tblCellMar>
        </w:tblPrEx>
        <w:trPr>
          <w:trHeight w:val="1100" w:hRule="atLeast"/>
          <w:jc w:val="center"/>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劳动能力鉴定委员会意 见</w:t>
            </w:r>
          </w:p>
        </w:tc>
        <w:tc>
          <w:tcPr>
            <w:tcW w:w="7229" w:type="dxa"/>
            <w:gridSpan w:val="1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(盖章)                                   年  月  日</w:t>
            </w:r>
          </w:p>
        </w:tc>
      </w:tr>
      <w:tr>
        <w:tblPrEx>
          <w:tblLayout w:type="fixed"/>
          <w:tblCellMar>
            <w:top w:w="0" w:type="dxa"/>
            <w:left w:w="108" w:type="dxa"/>
            <w:bottom w:w="0" w:type="dxa"/>
            <w:right w:w="108" w:type="dxa"/>
          </w:tblCellMar>
        </w:tblPrEx>
        <w:trPr>
          <w:trHeight w:val="420" w:hRule="atLeast"/>
          <w:jc w:val="center"/>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备  注</w:t>
            </w:r>
          </w:p>
        </w:tc>
        <w:tc>
          <w:tcPr>
            <w:tcW w:w="7229" w:type="dxa"/>
            <w:gridSpan w:val="15"/>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仿宋_GB2312" w:hAnsi="宋体" w:eastAsia="仿宋_GB2312" w:cs="Arial"/>
                <w:color w:val="000000"/>
                <w:kern w:val="0"/>
                <w:sz w:val="24"/>
                <w:szCs w:val="24"/>
              </w:rPr>
            </w:pPr>
          </w:p>
        </w:tc>
      </w:tr>
      <w:tr>
        <w:tblPrEx>
          <w:tblLayout w:type="fixed"/>
          <w:tblCellMar>
            <w:top w:w="0" w:type="dxa"/>
            <w:left w:w="108" w:type="dxa"/>
            <w:bottom w:w="0" w:type="dxa"/>
            <w:right w:w="108" w:type="dxa"/>
          </w:tblCellMar>
        </w:tblPrEx>
        <w:trPr>
          <w:trHeight w:val="815" w:hRule="atLeast"/>
          <w:jc w:val="center"/>
        </w:trPr>
        <w:tc>
          <w:tcPr>
            <w:tcW w:w="883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6"/>
                <w:szCs w:val="16"/>
              </w:rPr>
            </w:pPr>
            <w:r>
              <w:rPr>
                <w:rFonts w:ascii="宋体" w:hAnsi="宋体" w:eastAsia="宋体" w:cs="Times New Roman"/>
                <w:color w:val="000000"/>
                <w:kern w:val="0"/>
                <w:sz w:val="20"/>
                <w:szCs w:val="20"/>
              </w:rPr>
              <w:t>本表一式三份，经办机构、劳动能力鉴定委员会、工伤康复协议机构各一份。</w:t>
            </w:r>
            <w:r>
              <w:rPr>
                <w:rFonts w:hint="eastAsia" w:ascii="宋体" w:hAnsi="宋体" w:eastAsia="宋体" w:cs="Times New Roman"/>
                <w:color w:val="000000"/>
                <w:kern w:val="0"/>
                <w:sz w:val="20"/>
                <w:szCs w:val="20"/>
              </w:rPr>
              <w:br w:type="textWrapping"/>
            </w:r>
            <w:r>
              <w:rPr>
                <w:rFonts w:ascii="Times New Roman" w:hAnsi="Times New Roman" w:eastAsia="宋体" w:cs="Times New Roman"/>
                <w:color w:val="000000"/>
                <w:kern w:val="0"/>
                <w:sz w:val="16"/>
                <w:szCs w:val="16"/>
              </w:rPr>
              <w:t>356</w:t>
            </w:r>
          </w:p>
        </w:tc>
      </w:tr>
    </w:tbl>
    <w:p>
      <w:pPr>
        <w:spacing w:line="560" w:lineRule="atLeast"/>
        <w:ind w:firstLine="640" w:firstLineChars="200"/>
        <w:rPr>
          <w:rFonts w:ascii="仿宋_GB2312" w:eastAsia="仿宋_GB2312"/>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8BB"/>
    <w:rsid w:val="000632D8"/>
    <w:rsid w:val="00063EB4"/>
    <w:rsid w:val="00071D51"/>
    <w:rsid w:val="000A633C"/>
    <w:rsid w:val="00116DCB"/>
    <w:rsid w:val="00132346"/>
    <w:rsid w:val="00164CFB"/>
    <w:rsid w:val="001663D2"/>
    <w:rsid w:val="0017710D"/>
    <w:rsid w:val="00182995"/>
    <w:rsid w:val="001C00CF"/>
    <w:rsid w:val="001D2ACB"/>
    <w:rsid w:val="0027304D"/>
    <w:rsid w:val="002B0DE4"/>
    <w:rsid w:val="002F07BF"/>
    <w:rsid w:val="0033233C"/>
    <w:rsid w:val="003579B7"/>
    <w:rsid w:val="003958BB"/>
    <w:rsid w:val="0040345D"/>
    <w:rsid w:val="00404A07"/>
    <w:rsid w:val="004343D9"/>
    <w:rsid w:val="00494A2B"/>
    <w:rsid w:val="004C70EB"/>
    <w:rsid w:val="00532E5B"/>
    <w:rsid w:val="005537E4"/>
    <w:rsid w:val="0064457C"/>
    <w:rsid w:val="00665CA6"/>
    <w:rsid w:val="006E4EAA"/>
    <w:rsid w:val="00710A62"/>
    <w:rsid w:val="00717322"/>
    <w:rsid w:val="007373A1"/>
    <w:rsid w:val="00754A16"/>
    <w:rsid w:val="007A35D7"/>
    <w:rsid w:val="007A4DDD"/>
    <w:rsid w:val="007A5843"/>
    <w:rsid w:val="007B7203"/>
    <w:rsid w:val="008116C9"/>
    <w:rsid w:val="008307DF"/>
    <w:rsid w:val="00887A91"/>
    <w:rsid w:val="00924656"/>
    <w:rsid w:val="00982674"/>
    <w:rsid w:val="009C08F1"/>
    <w:rsid w:val="00A0179F"/>
    <w:rsid w:val="00A63B93"/>
    <w:rsid w:val="00AE1B2B"/>
    <w:rsid w:val="00B0476E"/>
    <w:rsid w:val="00BC7848"/>
    <w:rsid w:val="00BD0E0B"/>
    <w:rsid w:val="00BE0B0F"/>
    <w:rsid w:val="00BE567F"/>
    <w:rsid w:val="00C713C9"/>
    <w:rsid w:val="00D46F56"/>
    <w:rsid w:val="00DF5657"/>
    <w:rsid w:val="00E15993"/>
    <w:rsid w:val="00E420F8"/>
    <w:rsid w:val="00E45EB3"/>
    <w:rsid w:val="00EA16D5"/>
    <w:rsid w:val="00EF305F"/>
    <w:rsid w:val="00F07BD2"/>
    <w:rsid w:val="00F206E5"/>
    <w:rsid w:val="00F81A3C"/>
    <w:rsid w:val="00F90505"/>
    <w:rsid w:val="00F963C5"/>
    <w:rsid w:val="65A64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5"/>
    <w:unhideWhenUsed/>
    <w:uiPriority w:val="99"/>
    <w:pPr>
      <w:tabs>
        <w:tab w:val="center" w:pos="4153"/>
        <w:tab w:val="right" w:pos="8306"/>
      </w:tabs>
      <w:snapToGrid w:val="0"/>
      <w:jc w:val="left"/>
    </w:pPr>
    <w:rPr>
      <w:sz w:val="18"/>
      <w:szCs w:val="18"/>
    </w:rPr>
  </w:style>
  <w:style w:type="paragraph" w:styleId="4">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批注框文本 字符"/>
    <w:basedOn w:val="6"/>
    <w:link w:val="2"/>
    <w:semiHidden/>
    <w:uiPriority w:val="99"/>
    <w:rPr>
      <w:sz w:val="18"/>
      <w:szCs w:val="18"/>
    </w:rPr>
  </w:style>
  <w:style w:type="character" w:customStyle="1" w:styleId="9">
    <w:name w:val="font31"/>
    <w:basedOn w:val="6"/>
    <w:uiPriority w:val="0"/>
    <w:rPr>
      <w:rFonts w:hint="eastAsia" w:ascii="黑体" w:hAnsi="黑体" w:eastAsia="黑体"/>
      <w:color w:val="000000"/>
      <w:sz w:val="24"/>
      <w:szCs w:val="24"/>
      <w:u w:val="none"/>
    </w:rPr>
  </w:style>
  <w:style w:type="character" w:customStyle="1" w:styleId="10">
    <w:name w:val="font41"/>
    <w:basedOn w:val="6"/>
    <w:uiPriority w:val="0"/>
    <w:rPr>
      <w:rFonts w:hint="eastAsia" w:ascii="宋体" w:hAnsi="宋体" w:eastAsia="宋体"/>
      <w:b/>
      <w:bCs/>
      <w:color w:val="000000"/>
      <w:sz w:val="34"/>
      <w:szCs w:val="34"/>
      <w:u w:val="none"/>
    </w:rPr>
  </w:style>
  <w:style w:type="character" w:customStyle="1" w:styleId="11">
    <w:name w:val="font51"/>
    <w:basedOn w:val="6"/>
    <w:uiPriority w:val="0"/>
    <w:rPr>
      <w:rFonts w:hint="eastAsia" w:ascii="宋体" w:hAnsi="宋体" w:eastAsia="宋体"/>
      <w:color w:val="000000"/>
      <w:sz w:val="26"/>
      <w:szCs w:val="26"/>
      <w:u w:val="none"/>
    </w:rPr>
  </w:style>
  <w:style w:type="character" w:customStyle="1" w:styleId="12">
    <w:name w:val="font61"/>
    <w:basedOn w:val="6"/>
    <w:uiPriority w:val="0"/>
    <w:rPr>
      <w:rFonts w:hint="eastAsia" w:ascii="宋体" w:hAnsi="宋体" w:eastAsia="宋体"/>
      <w:color w:val="000000"/>
      <w:sz w:val="20"/>
      <w:szCs w:val="20"/>
      <w:u w:val="none"/>
    </w:rPr>
  </w:style>
  <w:style w:type="character" w:customStyle="1" w:styleId="13">
    <w:name w:val="font71"/>
    <w:basedOn w:val="6"/>
    <w:uiPriority w:val="0"/>
    <w:rPr>
      <w:rFonts w:hint="default" w:ascii="Times New Roman" w:hAnsi="Times New Roman" w:cs="Times New Roman"/>
      <w:color w:val="000000"/>
      <w:sz w:val="16"/>
      <w:szCs w:val="16"/>
      <w:u w:val="none"/>
    </w:rPr>
  </w:style>
  <w:style w:type="character" w:customStyle="1" w:styleId="14">
    <w:name w:val="页眉 字符"/>
    <w:basedOn w:val="6"/>
    <w:link w:val="4"/>
    <w:uiPriority w:val="99"/>
    <w:rPr>
      <w:sz w:val="18"/>
      <w:szCs w:val="18"/>
    </w:rPr>
  </w:style>
  <w:style w:type="character" w:customStyle="1" w:styleId="15">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22A7C9-206F-4E9C-8A4D-5B8BB157D50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1153</Words>
  <Characters>6574</Characters>
  <Lines>54</Lines>
  <Paragraphs>15</Paragraphs>
  <TotalTime>10</TotalTime>
  <ScaleCrop>false</ScaleCrop>
  <LinksUpToDate>false</LinksUpToDate>
  <CharactersWithSpaces>7712</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2025-11-14T01:55:00Z</dcterms:created>
  <dc:creator>YH</dc:creator>
  <cp:lastModifiedBy>阎虹宇</cp:lastModifiedBy>
  <cp:lastPrinted>2025-08-26T07:45:00Z</cp:lastPrinted>
  <dcterms:modified xsi:type="dcterms:W3CDTF">2025-11-27T01:41:53Z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