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</w:p>
    <w:p>
      <w:pPr>
        <w:widowControl/>
        <w:spacing w:line="580" w:lineRule="exact"/>
        <w:jc w:val="center"/>
        <w:rPr>
          <w:rFonts w:ascii="方正小标宋简体" w:eastAsia="方正小标宋简体"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line="580" w:lineRule="exact"/>
        <w:jc w:val="center"/>
        <w:rPr>
          <w:rFonts w:ascii="方正小标宋简体" w:eastAsia="方正小标宋简体"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eastAsia="方正小标宋简体"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  <w:t>2</w:t>
      </w:r>
      <w:r>
        <w:rPr>
          <w:rFonts w:ascii="方正小标宋简体" w:eastAsia="方正小标宋简体"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  <w:t>018</w:t>
      </w:r>
      <w:r>
        <w:rPr>
          <w:rFonts w:hint="eastAsia" w:ascii="方正小标宋简体" w:eastAsia="方正小标宋简体"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  <w:t>年基本医疗保险</w:t>
      </w:r>
      <w:r>
        <w:rPr>
          <w:rFonts w:ascii="方正小标宋简体" w:eastAsia="方正小标宋简体"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  <w:t>新增门诊大病</w:t>
      </w:r>
    </w:p>
    <w:p>
      <w:pPr>
        <w:widowControl/>
        <w:spacing w:line="580" w:lineRule="exact"/>
        <w:jc w:val="center"/>
        <w:rPr>
          <w:rFonts w:ascii="方正小标宋简体" w:eastAsia="方正小标宋简体"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  <w:t>病种和诊断标准</w:t>
      </w:r>
    </w:p>
    <w:bookmarkEnd w:id="0"/>
    <w:p>
      <w:pPr>
        <w:spacing w:line="600" w:lineRule="exact"/>
        <w:ind w:left="800" w:hanging="800" w:hangingChars="25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</w:p>
    <w:p>
      <w:pPr>
        <w:spacing w:line="600" w:lineRule="exact"/>
        <w:ind w:left="800" w:hanging="800" w:hangingChars="25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、血友病</w:t>
      </w:r>
    </w:p>
    <w:p>
      <w:pPr>
        <w:spacing w:line="600" w:lineRule="exact"/>
        <w:ind w:left="800" w:hanging="800" w:hangingChars="25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1.有凝血因子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缺乏的实验室检测结果；</w:t>
      </w:r>
    </w:p>
    <w:p>
      <w:pPr>
        <w:spacing w:line="600" w:lineRule="exact"/>
        <w:ind w:left="2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2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.有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确诊为血友病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按血友病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接受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正规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治疗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的住院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病历。</w:t>
      </w:r>
    </w:p>
    <w:p>
      <w:pPr>
        <w:spacing w:line="600" w:lineRule="exact"/>
        <w:ind w:left="800" w:hanging="800" w:hangingChars="25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、肺结核病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及其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并发症</w:t>
      </w:r>
    </w:p>
    <w:p>
      <w:pPr>
        <w:spacing w:line="600" w:lineRule="exact"/>
        <w:ind w:left="800" w:hanging="800" w:hangingChars="250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1.按照原卫生部《肺结核门诊诊疗规范(2012年版)》，</w:t>
      </w:r>
    </w:p>
    <w:p>
      <w:pPr>
        <w:spacing w:line="600" w:lineRule="exact"/>
        <w:ind w:left="800" w:hanging="800" w:hangingChars="250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应在门诊治疗的肺结核；</w:t>
      </w:r>
    </w:p>
    <w:p>
      <w:pPr>
        <w:spacing w:line="600" w:lineRule="exact"/>
        <w:ind w:left="525" w:leftChars="250" w:firstLine="160" w:firstLineChars="50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.至少有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痰涂片、痰培养或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病理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诊断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其中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之一阳性的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肺</w:t>
      </w:r>
    </w:p>
    <w:p>
      <w:pPr>
        <w:spacing w:line="60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结核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确诊病例，不包括疑似病例和临床诊断病例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spacing w:line="600" w:lineRule="exact"/>
        <w:ind w:left="525" w:leftChars="250" w:firstLine="160" w:firstLineChars="5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.结核性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胸膜炎须有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影像学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资料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佐证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spacing w:line="600" w:lineRule="exact"/>
        <w:ind w:left="525" w:leftChars="250" w:firstLine="160" w:firstLineChars="5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普通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肺结核在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诊断时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注明初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治病例或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复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治病例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，以便</w:t>
      </w:r>
    </w:p>
    <w:p>
      <w:pPr>
        <w:spacing w:line="600" w:lineRule="exac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核定病种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年度最高支付限额；</w:t>
      </w:r>
    </w:p>
    <w:p>
      <w:pPr>
        <w:spacing w:line="600" w:lineRule="exact"/>
        <w:ind w:left="525" w:leftChars="250" w:firstLine="160" w:firstLineChars="5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耐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药肺结核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须有药敏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试验佐证，诊断时注明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单耐异烟</w:t>
      </w:r>
    </w:p>
    <w:p>
      <w:pPr>
        <w:spacing w:line="600" w:lineRule="exac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肼病例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、耐多药病例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或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广泛耐药病例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，以便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核定病种年度最高支付限额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87410"/>
    <w:rsid w:val="3898741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2017-11-02T02:43:00Z</dcterms:created>
  <dc:creator>Administrator</dc:creator>
  <cp:lastModifiedBy>Administrator</cp:lastModifiedBy>
  <dcterms:modified xsi:type="dcterms:W3CDTF">2017-11-02T02:44:13Z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